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16558" w14:textId="25E6E33B" w:rsidR="008D65CD" w:rsidRPr="008D65CD" w:rsidRDefault="008D65CD" w:rsidP="008D65CD">
      <w:pPr>
        <w:pStyle w:val="Header"/>
        <w:tabs>
          <w:tab w:val="right" w:pos="9639"/>
        </w:tabs>
        <w:rPr>
          <w:noProof w:val="0"/>
          <w:sz w:val="24"/>
        </w:rPr>
      </w:pPr>
      <w:r w:rsidRPr="008D65CD">
        <w:rPr>
          <w:noProof w:val="0"/>
          <w:sz w:val="24"/>
        </w:rPr>
        <w:t>3GPP TSG RAN WG1 #96</w:t>
      </w:r>
      <w:r w:rsidRPr="008D65CD">
        <w:rPr>
          <w:noProof w:val="0"/>
          <w:sz w:val="24"/>
        </w:rPr>
        <w:tab/>
      </w:r>
      <w:r w:rsidR="000215FB" w:rsidRPr="000215FB">
        <w:rPr>
          <w:noProof w:val="0"/>
          <w:sz w:val="24"/>
        </w:rPr>
        <w:t>R1-1902548</w:t>
      </w:r>
    </w:p>
    <w:p w14:paraId="68F99E68" w14:textId="77777777" w:rsidR="008D65CD" w:rsidRPr="008D65CD" w:rsidRDefault="008D65CD" w:rsidP="008D65CD">
      <w:pPr>
        <w:pStyle w:val="Header"/>
        <w:tabs>
          <w:tab w:val="right" w:pos="9639"/>
        </w:tabs>
        <w:rPr>
          <w:noProof w:val="0"/>
          <w:sz w:val="24"/>
        </w:rPr>
      </w:pPr>
      <w:r w:rsidRPr="008D65CD">
        <w:rPr>
          <w:noProof w:val="0"/>
          <w:sz w:val="24"/>
        </w:rPr>
        <w:t>Athens, Greece, 25th February – 1st March, 2019</w:t>
      </w:r>
    </w:p>
    <w:p w14:paraId="3587D698" w14:textId="77777777" w:rsidR="002E2FAF" w:rsidRPr="008D65CD"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4AFCF935"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 UE</w:t>
      </w:r>
      <w:r w:rsidR="00C950FC">
        <w:rPr>
          <w:rFonts w:ascii="Arial" w:hAnsi="Arial"/>
          <w:sz w:val="24"/>
        </w:rPr>
        <w:t xml:space="preserve"> power saving and traffic adaptation</w:t>
      </w:r>
    </w:p>
    <w:p w14:paraId="29ACCAC4" w14:textId="08F6967F" w:rsidR="002E2FAF" w:rsidRPr="003B6B65" w:rsidRDefault="002E2FAF" w:rsidP="00B02CB3">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C950FC">
        <w:rPr>
          <w:rFonts w:ascii="Arial" w:hAnsi="Arial"/>
          <w:sz w:val="24"/>
        </w:rPr>
        <w:t>7.2.9.2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5F819900" w14:textId="77777777" w:rsidR="00DD639E" w:rsidRDefault="00DD639E" w:rsidP="00F625DF">
      <w:pPr>
        <w:rPr>
          <w:rFonts w:cs="Arial"/>
        </w:rPr>
      </w:pPr>
    </w:p>
    <w:p w14:paraId="446ED454" w14:textId="50080A57" w:rsidR="00311998" w:rsidRDefault="006A2B4F" w:rsidP="00F625DF">
      <w:pPr>
        <w:rPr>
          <w:rFonts w:cs="Arial"/>
        </w:rPr>
      </w:pPr>
      <w:r w:rsidRPr="00A06938">
        <w:rPr>
          <w:rFonts w:cs="Arial"/>
        </w:rPr>
        <w:t>This contribution provides our views on</w:t>
      </w:r>
      <w:r w:rsidR="00B47642">
        <w:rPr>
          <w:rFonts w:cs="Arial"/>
        </w:rPr>
        <w:t xml:space="preserve"> some open issues of</w:t>
      </w:r>
      <w:r w:rsidRPr="00A06938">
        <w:rPr>
          <w:rFonts w:cs="Arial"/>
        </w:rPr>
        <w:t xml:space="preserve"> </w:t>
      </w:r>
      <w:r w:rsidR="00B47642">
        <w:rPr>
          <w:rFonts w:cs="Arial"/>
        </w:rPr>
        <w:t xml:space="preserve">UE traffic adaptation and related power saving </w:t>
      </w:r>
      <w:r w:rsidR="00062D49" w:rsidRPr="00A06938">
        <w:rPr>
          <w:rFonts w:cs="Arial"/>
        </w:rPr>
        <w:t>procedure</w:t>
      </w:r>
      <w:r w:rsidR="00B47642">
        <w:rPr>
          <w:rFonts w:cs="Arial"/>
        </w:rPr>
        <w:t>s</w:t>
      </w:r>
      <w:r w:rsidR="00BF037F">
        <w:rPr>
          <w:rFonts w:cs="Arial"/>
        </w:rPr>
        <w:t>.</w:t>
      </w:r>
      <w:r w:rsidR="00A577E9">
        <w:rPr>
          <w:rFonts w:cs="Arial"/>
        </w:rPr>
        <w:t xml:space="preserve"> The conten</w:t>
      </w:r>
      <w:r w:rsidR="00A57A17">
        <w:rPr>
          <w:rFonts w:cs="Arial"/>
        </w:rPr>
        <w:t>t</w:t>
      </w:r>
      <w:r w:rsidR="00A577E9">
        <w:rPr>
          <w:rFonts w:cs="Arial"/>
        </w:rPr>
        <w:t xml:space="preserve">s are mainly updated from </w:t>
      </w:r>
      <w:r w:rsidR="00A577E9" w:rsidRPr="00A577E9">
        <w:rPr>
          <w:rFonts w:cs="Arial"/>
        </w:rPr>
        <w:t>R1-1901118</w:t>
      </w:r>
      <w:r w:rsidR="00A577E9">
        <w:rPr>
          <w:rFonts w:cs="Arial"/>
        </w:rPr>
        <w:t xml:space="preserve"> and </w:t>
      </w:r>
      <w:r w:rsidR="00A577E9" w:rsidRPr="00A577E9">
        <w:rPr>
          <w:rFonts w:cs="Arial"/>
        </w:rPr>
        <w:t>R1-1901121</w:t>
      </w:r>
      <w:r w:rsidR="00F21F4F">
        <w:rPr>
          <w:rFonts w:cs="Arial"/>
        </w:rPr>
        <w:t>.</w:t>
      </w:r>
    </w:p>
    <w:p w14:paraId="6324EE6E" w14:textId="77777777" w:rsidR="00DD639E" w:rsidRDefault="00DD639E" w:rsidP="00F625DF">
      <w:pPr>
        <w:rPr>
          <w:rFonts w:cs="Arial"/>
        </w:rPr>
      </w:pPr>
    </w:p>
    <w:p w14:paraId="6AD463DE" w14:textId="77777777" w:rsidR="002E2FAF" w:rsidRDefault="00CB24EA">
      <w:pPr>
        <w:pStyle w:val="Heading1"/>
        <w:rPr>
          <w:rFonts w:cs="Arial"/>
        </w:rPr>
      </w:pPr>
      <w:r>
        <w:rPr>
          <w:rFonts w:cs="Arial"/>
        </w:rPr>
        <w:t>Discussion</w:t>
      </w:r>
    </w:p>
    <w:p w14:paraId="006223E7" w14:textId="77777777" w:rsidR="00DD639E" w:rsidRDefault="00DD639E" w:rsidP="003B6B65">
      <w:pPr>
        <w:rPr>
          <w:rFonts w:eastAsia="SimSun"/>
          <w:u w:val="single"/>
          <w:lang w:val="en-US" w:eastAsia="zh-CN"/>
        </w:rPr>
      </w:pPr>
    </w:p>
    <w:p w14:paraId="48B33574" w14:textId="1ADBE162" w:rsidR="003B6B65" w:rsidRPr="009C68CC" w:rsidRDefault="003B6B65" w:rsidP="003B6B65">
      <w:pPr>
        <w:rPr>
          <w:rFonts w:eastAsia="SimSun"/>
          <w:u w:val="single"/>
          <w:lang w:val="en-US" w:eastAsia="zh-CN"/>
        </w:rPr>
      </w:pPr>
      <w:r w:rsidRPr="009C68CC">
        <w:rPr>
          <w:rFonts w:eastAsia="SimSun"/>
          <w:u w:val="single"/>
          <w:lang w:val="en-US" w:eastAsia="zh-CN"/>
        </w:rPr>
        <w:t>On adaptation to DL scheduling timing</w:t>
      </w:r>
      <w:r>
        <w:rPr>
          <w:rFonts w:eastAsia="SimSun"/>
          <w:u w:val="single"/>
          <w:lang w:val="en-US" w:eastAsia="zh-CN"/>
        </w:rPr>
        <w:t xml:space="preserve"> for cross</w:t>
      </w:r>
      <w:r w:rsidRPr="009C68CC">
        <w:rPr>
          <w:rFonts w:eastAsia="SimSun"/>
          <w:u w:val="single"/>
          <w:lang w:val="en-US" w:eastAsia="zh-CN"/>
        </w:rPr>
        <w:t xml:space="preserve"> slot scheduling</w:t>
      </w:r>
    </w:p>
    <w:p w14:paraId="1E168C31" w14:textId="77777777" w:rsidR="003B6B65" w:rsidRDefault="003B6B65" w:rsidP="003B6B65">
      <w:pPr>
        <w:rPr>
          <w:rFonts w:eastAsia="SimSun"/>
          <w:lang w:val="en-US" w:eastAsia="zh-CN"/>
        </w:rPr>
      </w:pPr>
      <w:r>
        <w:rPr>
          <w:rFonts w:eastAsia="SimSun"/>
          <w:lang w:val="en-US" w:eastAsia="zh-CN"/>
        </w:rPr>
        <w:t>Based on the current agreed power model, cross-slot scheduling power consumption for a TB is PDCCH-only * 0.7 + PDSCH-only = 70 + 280 = 350, while PDCCH + PDSCH in a slot is 300. Hence for a single scheduling, cross-slot scheduling is not an efficient way for power saving. Even though UE can go to micro-sleep after PDCCH reception, it is not a better option than utilizing self-slot scheduling and making UE sleep earlier.</w:t>
      </w:r>
    </w:p>
    <w:p w14:paraId="620D009A" w14:textId="77777777" w:rsidR="003B6B65" w:rsidRDefault="003B6B65" w:rsidP="003B6B65">
      <w:pPr>
        <w:rPr>
          <w:rFonts w:eastAsia="SimSun"/>
          <w:lang w:val="en-US" w:eastAsia="zh-CN"/>
        </w:rPr>
      </w:pPr>
      <w:r>
        <w:rPr>
          <w:rFonts w:eastAsia="SimSun"/>
          <w:lang w:val="en-US" w:eastAsia="zh-CN"/>
        </w:rPr>
        <w:t>On the other hand, if UE is configured to monitor PDCCH anyway in a relatively longer period, cross-slot scheduling can reduce the PDCCH monitoring power consumption by skipping buffering the data part. For example, to monitor PDCCH in 10 slots, cross-slot scheduling uses 700 units while normal same-slot scheduling uses 1000 units. However, it is also a controversial point that why gNB needs to keep UE in a long period and only schedules the UE in a small portion of active period. A smarter gNB willing to peruse lower UE power consumption should perform better traffic adaptation.</w:t>
      </w:r>
    </w:p>
    <w:p w14:paraId="27DCF4C1" w14:textId="77777777" w:rsidR="003B6B65" w:rsidRDefault="003B6B65" w:rsidP="003B6B65">
      <w:pPr>
        <w:rPr>
          <w:rFonts w:eastAsia="SimSun"/>
          <w:lang w:val="en-US" w:eastAsia="zh-CN"/>
        </w:rPr>
      </w:pPr>
      <w:r>
        <w:rPr>
          <w:rFonts w:eastAsia="SimSun"/>
          <w:lang w:val="en-US" w:eastAsia="zh-CN"/>
        </w:rPr>
        <w:t>In our opinion, the main benefit brought by cross-slot scheduling comes from the possibility of aggregating multiple TBs into one slot to reduce the UE active time.</w:t>
      </w:r>
      <w:r>
        <w:rPr>
          <w:rFonts w:eastAsia="SimSun" w:hint="eastAsia"/>
          <w:lang w:val="en-US" w:eastAsia="zh-CN"/>
        </w:rPr>
        <w:t xml:space="preserve"> </w:t>
      </w:r>
      <w:r>
        <w:rPr>
          <w:rFonts w:eastAsia="SimSun"/>
          <w:lang w:val="en-US" w:eastAsia="zh-CN"/>
        </w:rPr>
        <w:t>For example, if two TB are scheduled with cross-slot scheduling in the PDSCH in the same slot, the power consumption is 70 + 70 + 280 = 420, while the same slot scheduling is 300 + 300 = 600. In this example, even UE buffers both control and data parts in each slot but cross-slot scheduling is assumed, the power is 100 + 100 + 300 = 500, which is still more efficient than same slot scheduling. The benefit can become more obvious along with more TBs are aggregated within a slot.</w:t>
      </w:r>
    </w:p>
    <w:p w14:paraId="62A65DAA" w14:textId="77777777" w:rsidR="003B6B65" w:rsidRDefault="003B6B65" w:rsidP="003B6B65">
      <w:r>
        <w:rPr>
          <w:rFonts w:eastAsia="SimSun"/>
          <w:lang w:val="en-US" w:eastAsia="zh-CN"/>
        </w:rPr>
        <w:t xml:space="preserve">Hence the power saving obtained by cross-slot scheduling is mainly because it provides tools for gNB to perform proper scheduling. </w:t>
      </w:r>
    </w:p>
    <w:p w14:paraId="23641C86" w14:textId="77777777" w:rsidR="003B6B65" w:rsidRPr="004F4B42" w:rsidRDefault="003B6B65" w:rsidP="003B6B65">
      <w:pPr>
        <w:rPr>
          <w:b/>
        </w:rPr>
      </w:pPr>
      <w:r w:rsidRPr="004F4B42">
        <w:rPr>
          <w:b/>
        </w:rPr>
        <w:t>Observation 1: Cross-slot scheduling is beneficial for power saving. By proper implementation</w:t>
      </w:r>
      <w:r>
        <w:rPr>
          <w:b/>
        </w:rPr>
        <w:t xml:space="preserve"> of gNB scheduler</w:t>
      </w:r>
      <w:r w:rsidRPr="004F4B42">
        <w:rPr>
          <w:b/>
        </w:rPr>
        <w:t>, the data transmission can be aggregated into smaller number of slot</w:t>
      </w:r>
      <w:r>
        <w:rPr>
          <w:b/>
        </w:rPr>
        <w:t>s</w:t>
      </w:r>
      <w:r w:rsidRPr="004F4B42">
        <w:rPr>
          <w:b/>
        </w:rPr>
        <w:t xml:space="preserve">, which is the main </w:t>
      </w:r>
      <w:r>
        <w:rPr>
          <w:b/>
        </w:rPr>
        <w:t>enabler</w:t>
      </w:r>
      <w:r w:rsidRPr="004F4B42">
        <w:rPr>
          <w:b/>
        </w:rPr>
        <w:t xml:space="preserve"> of saving power consumption.</w:t>
      </w:r>
      <w:r>
        <w:rPr>
          <w:b/>
        </w:rPr>
        <w:t xml:space="preserve"> </w:t>
      </w:r>
    </w:p>
    <w:p w14:paraId="52A70B62" w14:textId="25A8171E" w:rsidR="003B6B65" w:rsidRDefault="003B6B65" w:rsidP="003B6B65">
      <w:r>
        <w:rPr>
          <w:rFonts w:eastAsia="SimSun"/>
          <w:lang w:val="en-US" w:eastAsia="zh-CN"/>
        </w:rPr>
        <w:t xml:space="preserve">Regarding the power saving from the skipping buffering data part REs and extended </w:t>
      </w:r>
      <w:r>
        <w:t>micro sleep time, it can be further optimized if the latency requirement can be satisfied in general. In this case, it is assumed that the UE is not intended to operate short latency traffic and PDCCH/PDSCH decoding speed can be relaxed. Therefore, in the condition that the gNB can know the traffic characteristic and make good scheduling prediction, skipping PDSCH RE buffering and extending micro-sleep can be discussed and considered.</w:t>
      </w:r>
    </w:p>
    <w:p w14:paraId="6D6C8C1C" w14:textId="77777777" w:rsidR="003B6B65" w:rsidRDefault="003B6B65" w:rsidP="003B6B65">
      <w:r>
        <w:t>In addition, for cross-slot scheduling, to acquire the benefit the UE behaviour should be clarified:</w:t>
      </w:r>
    </w:p>
    <w:p w14:paraId="78480262" w14:textId="4225CF5D" w:rsidR="003B6B65" w:rsidRPr="008E0583" w:rsidRDefault="003B6B65" w:rsidP="003B6B65">
      <w:r>
        <w:lastRenderedPageBreak/>
        <w:t>1. For minimum K0 &gt; 0, the UE can skip the PDSCH part buffering in the slots configured for PDCCH monitoring. The K0 value determines how fast UE is required to process PDCCH. A larger K0 value can relax the processing capability and lower the chipset voltage and frequency (DVSF). For each scheduling, the actually used K0 between PDCCH and PDSCH indicated by gNB depends on the packet scheduling aggregation strategy and traffic latency requirement. As shown in Figure.1, the K0 values are 4, 3, and 2 for PDCCH #1, #2 and #3 respectively. For PDCCH #4 and #5, the K0 values are 2 and 1.</w:t>
      </w:r>
    </w:p>
    <w:p w14:paraId="7D905F4F" w14:textId="77777777" w:rsidR="003B6B65" w:rsidRDefault="003B6B65" w:rsidP="003B6B65">
      <w:r>
        <w:t>2. It is a separate discussion point that whether the UE can also skip the PDCCH monitoring in a certain period after it detects a PDCCH. As shown in Figure.1, even after UE have detected PDCCH#3, it can also continue monitor PDCCH in Slot#n+3 and Slot#n+4. Since the PDCCH monitoring skipping may have impact on the flexibility of aggregating multiple scheduled TBs and the achievement of latency requirement, it is not necessary to coupled cross-slot scheduling operation with PDCCH monitoring skipping.</w:t>
      </w:r>
    </w:p>
    <w:p w14:paraId="26A567B1" w14:textId="77777777" w:rsidR="003B6B65" w:rsidRPr="001A37D9" w:rsidRDefault="003B6B65" w:rsidP="003B6B65">
      <w:pPr>
        <w:rPr>
          <w:b/>
          <w:lang w:val="en-US"/>
        </w:rPr>
      </w:pPr>
      <w:r w:rsidRPr="001A37D9">
        <w:rPr>
          <w:b/>
        </w:rPr>
        <w:t>Proposal 1: UE switching to micro-sleep and skipping PDCCH monitoring should be decoupled with functionality of cross-slot scheduling. The PDSCH buffering skipping can be enabled if the UE and gNB have aligned understanding of the minimum K0 within a certain period.</w:t>
      </w:r>
    </w:p>
    <w:p w14:paraId="3287ACDF" w14:textId="77777777" w:rsidR="003B6B65" w:rsidRDefault="003B6B65" w:rsidP="003B6B65">
      <w:pPr>
        <w:rPr>
          <w:lang w:eastAsia="zh-CN"/>
        </w:rPr>
      </w:pPr>
    </w:p>
    <w:p w14:paraId="00298451" w14:textId="1CB28A4E" w:rsidR="003B6B65" w:rsidRDefault="003B6B65" w:rsidP="00206BC8">
      <w:pPr>
        <w:jc w:val="center"/>
        <w:rPr>
          <w:lang w:eastAsia="zh-CN"/>
        </w:rPr>
      </w:pPr>
      <w:r w:rsidRPr="00AC1B7C">
        <w:rPr>
          <w:noProof/>
          <w:lang w:val="en-US" w:eastAsia="zh-CN"/>
        </w:rPr>
        <w:drawing>
          <wp:inline distT="0" distB="0" distL="0" distR="0" wp14:anchorId="112B81C2" wp14:editId="4D1DAF9D">
            <wp:extent cx="4513634" cy="23197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20474" cy="2323306"/>
                    </a:xfrm>
                    <a:prstGeom prst="rect">
                      <a:avLst/>
                    </a:prstGeom>
                    <a:noFill/>
                    <a:ln>
                      <a:noFill/>
                    </a:ln>
                  </pic:spPr>
                </pic:pic>
              </a:graphicData>
            </a:graphic>
          </wp:inline>
        </w:drawing>
      </w:r>
      <w:r>
        <w:rPr>
          <w:lang w:eastAsia="zh-CN"/>
        </w:rPr>
        <w:t xml:space="preserve">                                                          </w:t>
      </w:r>
      <w:r w:rsidRPr="00C621ED">
        <w:rPr>
          <w:b/>
          <w:lang w:eastAsia="zh-CN"/>
        </w:rPr>
        <w:t>Figure.1 An example of cross-slot scheduling and PDCCH monitoring</w:t>
      </w:r>
    </w:p>
    <w:p w14:paraId="53C5C162" w14:textId="77777777" w:rsidR="003B6B65" w:rsidRDefault="003B6B65" w:rsidP="003B6B65">
      <w:r>
        <w:rPr>
          <w:lang w:eastAsia="zh-CN"/>
        </w:rPr>
        <w:t xml:space="preserve"> </w:t>
      </w:r>
    </w:p>
    <w:p w14:paraId="6498C204" w14:textId="77777777" w:rsidR="003B6B65" w:rsidRDefault="003B6B65" w:rsidP="003B6B65">
      <w:r w:rsidRPr="009C68CC">
        <w:rPr>
          <w:rFonts w:eastAsia="SimSun"/>
          <w:u w:val="single"/>
          <w:lang w:val="en-US" w:eastAsia="zh-CN"/>
        </w:rPr>
        <w:t>On adaptation to DL scheduling timing</w:t>
      </w:r>
      <w:r>
        <w:rPr>
          <w:rFonts w:eastAsia="SimSun"/>
          <w:u w:val="single"/>
          <w:lang w:val="en-US" w:eastAsia="zh-CN"/>
        </w:rPr>
        <w:t xml:space="preserve"> for multi-</w:t>
      </w:r>
      <w:r w:rsidRPr="009C68CC">
        <w:rPr>
          <w:rFonts w:eastAsia="SimSun"/>
          <w:u w:val="single"/>
          <w:lang w:val="en-US" w:eastAsia="zh-CN"/>
        </w:rPr>
        <w:t>slot scheduling</w:t>
      </w:r>
    </w:p>
    <w:p w14:paraId="5357ED84" w14:textId="77777777" w:rsidR="003B6B65" w:rsidRDefault="003B6B65" w:rsidP="003B6B65">
      <w:pPr>
        <w:rPr>
          <w:rFonts w:eastAsia="SimSun"/>
          <w:lang w:eastAsia="zh-CN"/>
        </w:rPr>
      </w:pPr>
      <w:r>
        <w:rPr>
          <w:rFonts w:eastAsia="SimSun"/>
          <w:lang w:eastAsia="zh-CN"/>
        </w:rPr>
        <w:t xml:space="preserve">If the gNB has good knowledge of traffic profile and is able to arrange scheduling decision early enough, multi-slot scheduling can effectively save the power consumption of PDCCH buffering and blind decoding. Due to gNB scheduling implementation decision, the PDSCH scheduling are spread in multiple slots. Although this is not as efficient as put more data transmission in smaller number of slots, the gNB has implementation freedom to perform such scheduling, which has already taken into account the traffic needs. Then the PDCCH monitoring skipping can be considered in some or all of these scheduled slots to save power. </w:t>
      </w:r>
    </w:p>
    <w:p w14:paraId="6F3FC787" w14:textId="3C8B94B8" w:rsidR="003B6B65" w:rsidRDefault="003B6B65" w:rsidP="003B6B65">
      <w:pPr>
        <w:rPr>
          <w:rFonts w:eastAsia="SimSun"/>
          <w:lang w:eastAsia="zh-CN"/>
        </w:rPr>
      </w:pPr>
      <w:r>
        <w:rPr>
          <w:rFonts w:eastAsia="SimSun"/>
          <w:lang w:eastAsia="zh-CN"/>
        </w:rPr>
        <w:t xml:space="preserve">However, since cross-slot and multi-slot scheduling can be possibly </w:t>
      </w:r>
      <w:r w:rsidR="007572B7">
        <w:rPr>
          <w:rFonts w:eastAsia="SimSun"/>
          <w:lang w:eastAsia="zh-CN"/>
        </w:rPr>
        <w:t>enabled</w:t>
      </w:r>
      <w:r>
        <w:rPr>
          <w:rFonts w:eastAsia="SimSun"/>
          <w:lang w:eastAsia="zh-CN"/>
        </w:rPr>
        <w:t>, it is desirable to have unified UE behaviour design for PDCCH monitoring skipping.</w:t>
      </w:r>
    </w:p>
    <w:p w14:paraId="7CD6796E" w14:textId="77777777" w:rsidR="003B6B65" w:rsidRPr="004223C2" w:rsidRDefault="003B6B65" w:rsidP="003B6B65">
      <w:pPr>
        <w:rPr>
          <w:rFonts w:eastAsia="SimSun"/>
          <w:b/>
          <w:lang w:eastAsia="zh-CN"/>
        </w:rPr>
      </w:pPr>
      <w:r w:rsidRPr="004223C2">
        <w:rPr>
          <w:rFonts w:eastAsia="SimSun"/>
          <w:b/>
          <w:lang w:eastAsia="zh-CN"/>
        </w:rPr>
        <w:t>Proposal 2: PDCCH monitoring skipping used in cross-slot and multi-slot scheduling should have unified design.</w:t>
      </w:r>
    </w:p>
    <w:p w14:paraId="4AFD66AC" w14:textId="77777777" w:rsidR="003B6B65" w:rsidRDefault="003B6B65" w:rsidP="003B6B65">
      <w:pPr>
        <w:rPr>
          <w:rFonts w:eastAsia="SimSun"/>
          <w:lang w:val="en-US" w:eastAsia="zh-CN"/>
        </w:rPr>
      </w:pPr>
    </w:p>
    <w:p w14:paraId="7658BC1B" w14:textId="77777777" w:rsidR="003B6B65" w:rsidRDefault="003B6B65" w:rsidP="003B6B65">
      <w:pPr>
        <w:rPr>
          <w:rFonts w:eastAsia="SimSun"/>
          <w:u w:val="single"/>
          <w:lang w:val="en-US" w:eastAsia="zh-CN"/>
        </w:rPr>
      </w:pPr>
      <w:r w:rsidRPr="001E4EEB">
        <w:rPr>
          <w:rFonts w:eastAsia="SimSun"/>
          <w:u w:val="single"/>
          <w:lang w:val="en-US" w:eastAsia="zh-CN"/>
        </w:rPr>
        <w:t>On adaptation to the DRX operation</w:t>
      </w:r>
    </w:p>
    <w:p w14:paraId="45356007" w14:textId="77777777" w:rsidR="003B6B65" w:rsidRDefault="003B6B65" w:rsidP="003B6B65">
      <w:pPr>
        <w:rPr>
          <w:rFonts w:eastAsia="SimSun"/>
          <w:lang w:val="en-US" w:eastAsia="zh-CN"/>
        </w:rPr>
      </w:pPr>
      <w:r>
        <w:rPr>
          <w:rFonts w:eastAsia="SimSun"/>
          <w:lang w:val="en-US" w:eastAsia="zh-CN"/>
        </w:rPr>
        <w:t xml:space="preserve">Before entering the DRX_ON period, power saving signal can be used for indication on UE behavior whether to perform PDCCH monitoring. </w:t>
      </w:r>
    </w:p>
    <w:p w14:paraId="2BB1CF13" w14:textId="655AFE47" w:rsidR="003B6B65" w:rsidRDefault="003B6B65" w:rsidP="003B6B65">
      <w:pPr>
        <w:rPr>
          <w:rFonts w:eastAsia="SimSun"/>
          <w:lang w:val="en-US" w:eastAsia="zh-CN"/>
        </w:rPr>
      </w:pPr>
      <w:r>
        <w:rPr>
          <w:rFonts w:eastAsia="SimSun"/>
          <w:lang w:val="en-US" w:eastAsia="zh-CN"/>
        </w:rPr>
        <w:t>In case of mis-detection happens for the power saving signal, the UE default behavior should be clarified. In our opinion, the UE should monitor PDCCH following the legacy behavior with DRX configuration. This relaxes the reliability of power saving signal</w:t>
      </w:r>
      <w:r w:rsidR="00F55A9D">
        <w:rPr>
          <w:rFonts w:eastAsia="SimSun"/>
          <w:lang w:val="en-US" w:eastAsia="zh-CN"/>
        </w:rPr>
        <w:t>, e.g. the miss-detection probability can be 1%</w:t>
      </w:r>
      <w:r>
        <w:rPr>
          <w:rFonts w:eastAsia="SimSun"/>
          <w:lang w:val="en-US" w:eastAsia="zh-CN"/>
        </w:rPr>
        <w:t xml:space="preserve"> and provides more flexibility to gNB. Otherwise, if UE default behavior is not to wake up and skip PDCCH monitoring during DRX_ON, network always needs to send power saving signal and high reliability is needed. Correspondingly, the UE behavior indication in the </w:t>
      </w:r>
      <w:r>
        <w:rPr>
          <w:rFonts w:eastAsia="SimSun"/>
          <w:lang w:val="en-US" w:eastAsia="zh-CN"/>
        </w:rPr>
        <w:lastRenderedPageBreak/>
        <w:t>power saving signal should be designed by “allowing UE to sleep” principle instead of “mandating always monitoring”. If UE is required to monitor all the PDCCH occasions during DRX_ON, network can choose not to transmit the power saving signal at all.</w:t>
      </w:r>
    </w:p>
    <w:p w14:paraId="5F61E045" w14:textId="09E5B42F" w:rsidR="003B6B65" w:rsidRPr="00CB57D8" w:rsidRDefault="003B6B65" w:rsidP="003B6B65">
      <w:pPr>
        <w:rPr>
          <w:rFonts w:eastAsia="SimSun"/>
          <w:b/>
          <w:lang w:val="en-US" w:eastAsia="zh-CN"/>
        </w:rPr>
      </w:pPr>
      <w:r w:rsidRPr="007C5100">
        <w:rPr>
          <w:rFonts w:eastAsia="SimSun"/>
          <w:b/>
          <w:lang w:val="en-US" w:eastAsia="zh-CN"/>
        </w:rPr>
        <w:t>Proposal 3: UE default behavior of mis-detection of power saving signal should be monitoring the PDCCH during DRX_ON. The indication by power saving signal should be designed by “allowing UE to skip” principle. The details on</w:t>
      </w:r>
      <w:r w:rsidR="005E163E">
        <w:rPr>
          <w:rFonts w:eastAsia="SimSun"/>
          <w:b/>
          <w:lang w:val="en-US" w:eastAsia="zh-CN"/>
        </w:rPr>
        <w:t xml:space="preserve"> how power saving signal/channel supports</w:t>
      </w:r>
      <w:r w:rsidRPr="007C5100">
        <w:rPr>
          <w:rFonts w:eastAsia="SimSun"/>
          <w:b/>
          <w:lang w:val="en-US" w:eastAsia="zh-CN"/>
        </w:rPr>
        <w:t xml:space="preserve"> skipping operation and other functionalities can be further studied.</w:t>
      </w:r>
    </w:p>
    <w:p w14:paraId="48E5A523" w14:textId="77777777" w:rsidR="003B6B65" w:rsidRDefault="003B6B65" w:rsidP="003B6B65">
      <w:pPr>
        <w:rPr>
          <w:rFonts w:eastAsia="SimSun"/>
          <w:lang w:val="en-US" w:eastAsia="zh-CN"/>
        </w:rPr>
      </w:pPr>
    </w:p>
    <w:p w14:paraId="2CFD0309" w14:textId="785AF688" w:rsidR="003B6B65" w:rsidRDefault="003B6B65" w:rsidP="003B6B65">
      <w:pPr>
        <w:rPr>
          <w:rFonts w:eastAsia="SimSun"/>
          <w:lang w:val="en-US" w:eastAsia="zh-CN"/>
        </w:rPr>
      </w:pPr>
      <w:r>
        <w:rPr>
          <w:rFonts w:eastAsia="SimSun"/>
          <w:lang w:val="en-US" w:eastAsia="zh-CN"/>
        </w:rPr>
        <w:t xml:space="preserve">If the UE is required to start monitoring PDCCH during DRX_ON, the preparation in advance of DRX_ON is in general beneficial to make UE ready earlier for further traffic scheduling. This can save the UE total active time. The preparation could include channel tracking (including AGC/AFC), CSI measurement, beam tracking and so on. Regarding the SSB and RS resources used for the channel tracking and measurement during the preparation period, network should configure these channels close and properly aligned with intended wake-up timing. </w:t>
      </w:r>
    </w:p>
    <w:p w14:paraId="016A4983" w14:textId="77777777" w:rsidR="003B6B65" w:rsidRDefault="003B6B65" w:rsidP="003B6B65">
      <w:pPr>
        <w:rPr>
          <w:rFonts w:eastAsia="SimSun"/>
          <w:lang w:val="en-US" w:eastAsia="zh-CN"/>
        </w:rPr>
      </w:pPr>
      <w:r>
        <w:rPr>
          <w:rFonts w:eastAsia="SimSun"/>
          <w:lang w:val="en-US" w:eastAsia="zh-CN"/>
        </w:rPr>
        <w:t>On the other hand, to make the network obtain channel conditions faster to shorten the total active period, the CSI reporting and SRS triggering can be considered before or at the beginning of DRX_ON period by the indication of power saving signal.</w:t>
      </w:r>
    </w:p>
    <w:p w14:paraId="6592E6E0" w14:textId="65B03989" w:rsidR="003B6B65" w:rsidRPr="00823F10" w:rsidRDefault="003B6B65" w:rsidP="003B6B65">
      <w:pPr>
        <w:rPr>
          <w:rFonts w:eastAsia="SimSun"/>
          <w:b/>
          <w:lang w:val="en-US" w:eastAsia="zh-CN"/>
        </w:rPr>
      </w:pPr>
      <w:r w:rsidRPr="00823F10">
        <w:rPr>
          <w:rFonts w:eastAsia="SimSun"/>
          <w:b/>
          <w:lang w:val="en-US" w:eastAsia="zh-CN"/>
        </w:rPr>
        <w:t xml:space="preserve">Proposal 4: The SSB and RS resources should be assumed available by the UE in the preparation period before DRX_ON for channel tracking, CSI measurement, beam tracking and so on. </w:t>
      </w:r>
      <w:r>
        <w:rPr>
          <w:rFonts w:eastAsia="SimSun"/>
          <w:b/>
          <w:lang w:val="en-US" w:eastAsia="zh-CN"/>
        </w:rPr>
        <w:t xml:space="preserve"> </w:t>
      </w:r>
      <w:r w:rsidRPr="00823F10">
        <w:rPr>
          <w:rFonts w:eastAsia="SimSun"/>
          <w:b/>
          <w:lang w:val="en-US" w:eastAsia="zh-CN"/>
        </w:rPr>
        <w:t>The triggering of CSI report and SRS for earlier channel status awareness for gNB can be considered by indication in power saving signal</w:t>
      </w:r>
      <w:r w:rsidR="00B83E3D">
        <w:rPr>
          <w:rFonts w:eastAsia="SimSun"/>
          <w:b/>
          <w:lang w:val="en-US" w:eastAsia="zh-CN"/>
        </w:rPr>
        <w:t>/channel</w:t>
      </w:r>
      <w:r w:rsidRPr="00823F10">
        <w:rPr>
          <w:rFonts w:eastAsia="SimSun"/>
          <w:b/>
          <w:lang w:val="en-US" w:eastAsia="zh-CN"/>
        </w:rPr>
        <w:t>.</w:t>
      </w:r>
    </w:p>
    <w:p w14:paraId="4FB019BC" w14:textId="77777777" w:rsidR="003B6B65" w:rsidRDefault="003B6B65" w:rsidP="003B6B65">
      <w:pPr>
        <w:rPr>
          <w:rFonts w:eastAsia="SimSun"/>
          <w:lang w:val="en-US" w:eastAsia="zh-CN"/>
        </w:rPr>
      </w:pPr>
    </w:p>
    <w:p w14:paraId="31D817FD" w14:textId="77777777" w:rsidR="003B6B65" w:rsidRDefault="003B6B65" w:rsidP="003B6B65">
      <w:pPr>
        <w:rPr>
          <w:rFonts w:eastAsia="SimSun"/>
          <w:lang w:val="en-US" w:eastAsia="zh-CN"/>
        </w:rPr>
      </w:pPr>
      <w:r>
        <w:rPr>
          <w:rFonts w:eastAsia="SimSun"/>
          <w:lang w:val="en-US" w:eastAsia="zh-CN"/>
        </w:rPr>
        <w:t>Due to that different traffic can have different arrival profile and different latency requirement, more flexible and dynamic DRX adaptation can be beneficial. This can be considered together with the procedures of other UE assistance information reporting, which have some relevance with the traffic characteristics and scheduling prediction.</w:t>
      </w:r>
    </w:p>
    <w:p w14:paraId="4A1D24D1" w14:textId="77777777" w:rsidR="003B6B65" w:rsidRPr="007A1E9E" w:rsidRDefault="003B6B65" w:rsidP="003B6B65">
      <w:pPr>
        <w:rPr>
          <w:rFonts w:eastAsia="SimSun"/>
          <w:lang w:val="en-US" w:eastAsia="zh-CN"/>
        </w:rPr>
      </w:pPr>
    </w:p>
    <w:p w14:paraId="5B1A52F2" w14:textId="77777777" w:rsidR="003B6B65" w:rsidRPr="002C3F5D" w:rsidRDefault="003B6B65" w:rsidP="003B6B65">
      <w:pPr>
        <w:rPr>
          <w:rFonts w:eastAsia="SimSun"/>
          <w:u w:val="single"/>
          <w:lang w:val="en-US" w:eastAsia="zh-CN"/>
        </w:rPr>
      </w:pPr>
      <w:r w:rsidRPr="002C3F5D">
        <w:rPr>
          <w:rFonts w:eastAsia="SimSun"/>
          <w:u w:val="single"/>
          <w:lang w:val="en-US" w:eastAsia="zh-CN"/>
        </w:rPr>
        <w:t>On adaptation in frequency domain</w:t>
      </w:r>
    </w:p>
    <w:p w14:paraId="1BECF2C5" w14:textId="28BC9264" w:rsidR="003B6B65" w:rsidRDefault="003B6B65" w:rsidP="003B6B65">
      <w:pPr>
        <w:rPr>
          <w:rFonts w:eastAsia="SimSun"/>
          <w:lang w:eastAsia="zh-CN"/>
        </w:rPr>
      </w:pPr>
      <w:r w:rsidRPr="002C3F5D">
        <w:rPr>
          <w:rFonts w:eastAsia="SimSun"/>
          <w:lang w:eastAsia="zh-CN"/>
        </w:rPr>
        <w:t>Although the frequency domain adaptation was identified to be studied, the trade-off between benefit and impact of adaptation among different BWP and CC should be justified. For intra-CC frequency domain adaptation, dynamic BWP switching is available already from Rel.15. The interaction between UE and gNB on the request</w:t>
      </w:r>
      <w:r>
        <w:rPr>
          <w:rFonts w:eastAsia="SimSun"/>
          <w:lang w:eastAsia="zh-CN"/>
        </w:rPr>
        <w:t>/suggestion</w:t>
      </w:r>
      <w:r w:rsidRPr="002C3F5D">
        <w:rPr>
          <w:rFonts w:eastAsia="SimSun"/>
          <w:lang w:eastAsia="zh-CN"/>
        </w:rPr>
        <w:t xml:space="preserve"> and conformation also needs </w:t>
      </w:r>
      <w:r>
        <w:rPr>
          <w:rFonts w:eastAsia="SimSun"/>
          <w:lang w:eastAsia="zh-CN"/>
        </w:rPr>
        <w:t>some study, e.g. how UE can identify the most appropriate BWP</w:t>
      </w:r>
      <w:r w:rsidRPr="002C3F5D">
        <w:rPr>
          <w:rFonts w:eastAsia="SimSun"/>
          <w:lang w:eastAsia="zh-CN"/>
        </w:rPr>
        <w:t xml:space="preserve">. Therefore, careful analysis should be carried out. </w:t>
      </w:r>
    </w:p>
    <w:p w14:paraId="6548DF44" w14:textId="4CE2AFA8" w:rsidR="00C3094E" w:rsidRDefault="00C3094E" w:rsidP="003B6B65">
      <w:pPr>
        <w:rPr>
          <w:rFonts w:eastAsia="SimSun"/>
          <w:lang w:eastAsia="zh-CN"/>
        </w:rPr>
      </w:pPr>
      <w:r>
        <w:rPr>
          <w:rFonts w:eastAsia="SimSun"/>
          <w:lang w:eastAsia="zh-CN"/>
        </w:rPr>
        <w:t xml:space="preserve">It is also noted that since the configured TDRA table is BWP- specific, </w:t>
      </w:r>
      <w:r w:rsidR="009608D2">
        <w:rPr>
          <w:rFonts w:eastAsia="SimSun"/>
          <w:lang w:eastAsia="zh-CN"/>
        </w:rPr>
        <w:t xml:space="preserve">which plays an important role in the discussion of power saving from same/cross/multi-slot scheduling, </w:t>
      </w:r>
      <w:r>
        <w:rPr>
          <w:rFonts w:eastAsia="SimSun"/>
          <w:lang w:eastAsia="zh-CN"/>
        </w:rPr>
        <w:t>the time domain processing timeline adaptation may also be impacted by BWP switching.</w:t>
      </w:r>
      <w:r w:rsidR="009608D2">
        <w:rPr>
          <w:rFonts w:eastAsia="SimSun"/>
          <w:lang w:eastAsia="zh-CN"/>
        </w:rPr>
        <w:t xml:space="preserve"> Thus in this sense, the adaptation of scheduling in time and frequency domain is naturally tied, which requires also careful study on how to support efficiently.</w:t>
      </w:r>
    </w:p>
    <w:p w14:paraId="6C2A35C6" w14:textId="77777777" w:rsidR="003B6B65" w:rsidRPr="002C3F5D" w:rsidRDefault="003B6B65" w:rsidP="003B6B65">
      <w:pPr>
        <w:rPr>
          <w:rFonts w:eastAsia="SimSun"/>
          <w:lang w:eastAsia="zh-CN"/>
        </w:rPr>
      </w:pPr>
      <w:r w:rsidRPr="002C3F5D">
        <w:rPr>
          <w:rFonts w:eastAsia="SimSun"/>
          <w:lang w:eastAsia="zh-CN"/>
        </w:rPr>
        <w:t xml:space="preserve">For inter-CC frequency domain adaptation, activation/deactivation of the carrier in NR Rel.15 is MAC based. In our view, single wideband carrier with multiple BWPs and multiple narrower carriers where total BW is same as single wideband case should achieve similar order of the power consumption gain. Therefore, it is worth to consider L1 based activation/deactivation. </w:t>
      </w:r>
    </w:p>
    <w:p w14:paraId="2A5DCE57" w14:textId="684954B9" w:rsidR="003B6B65" w:rsidRPr="00D57B32" w:rsidRDefault="003B6B65" w:rsidP="003B6B65">
      <w:pPr>
        <w:rPr>
          <w:rFonts w:eastAsia="SimSun"/>
          <w:b/>
          <w:lang w:eastAsia="zh-CN"/>
        </w:rPr>
      </w:pPr>
      <w:r w:rsidRPr="00D57B32">
        <w:rPr>
          <w:rFonts w:eastAsia="SimSun"/>
          <w:b/>
          <w:lang w:eastAsia="zh-CN"/>
        </w:rPr>
        <w:t>Proposal 5: For intra-carrier frequency domain adaptation, it needs careful study on scenarios and use cases for power saving purpose. For inter-carrier frequency adaptation, it is worth to study L1 based activation/deactivation.</w:t>
      </w:r>
    </w:p>
    <w:p w14:paraId="54E5F14C" w14:textId="77777777" w:rsidR="003B6B65" w:rsidRDefault="003B6B65" w:rsidP="0036533C">
      <w:pPr>
        <w:jc w:val="both"/>
      </w:pPr>
    </w:p>
    <w:p w14:paraId="2DF68199" w14:textId="35B5E3D6" w:rsidR="00905069" w:rsidRPr="00CF35F7" w:rsidRDefault="00905069" w:rsidP="0036533C">
      <w:pPr>
        <w:jc w:val="both"/>
        <w:rPr>
          <w:u w:val="single"/>
          <w:lang w:val="en-US"/>
        </w:rPr>
      </w:pPr>
      <w:r w:rsidRPr="00CF35F7">
        <w:rPr>
          <w:u w:val="single"/>
        </w:rPr>
        <w:t>On power saving signal</w:t>
      </w:r>
      <w:r w:rsidRPr="00CF35F7">
        <w:rPr>
          <w:u w:val="single"/>
          <w:lang w:val="en-US"/>
        </w:rPr>
        <w:t>/channel design</w:t>
      </w:r>
    </w:p>
    <w:p w14:paraId="21455B5A" w14:textId="3EC13E30" w:rsidR="00CF35F7" w:rsidRDefault="00100C55" w:rsidP="0036533C">
      <w:pPr>
        <w:jc w:val="both"/>
      </w:pPr>
      <w:r>
        <w:rPr>
          <w:lang w:val="en-US"/>
        </w:rPr>
        <w:t>As an important step</w:t>
      </w:r>
      <w:r w:rsidR="00DC0E50">
        <w:rPr>
          <w:lang w:val="en-US"/>
        </w:rPr>
        <w:t xml:space="preserve"> of triggering UE traffic adaptation, the power saving signal/channel has been mentioned and utilized for discussion</w:t>
      </w:r>
      <w:r w:rsidR="004A2BF9">
        <w:rPr>
          <w:lang w:val="en-US"/>
        </w:rPr>
        <w:t xml:space="preserve"> regarding more detailed triggering adaptation operation</w:t>
      </w:r>
      <w:r w:rsidR="00453929">
        <w:rPr>
          <w:lang w:val="en-US"/>
        </w:rPr>
        <w:t xml:space="preserve"> since the beginning of this study item</w:t>
      </w:r>
      <w:r w:rsidR="00DC0E50">
        <w:rPr>
          <w:lang w:val="en-US"/>
        </w:rPr>
        <w:t>.</w:t>
      </w:r>
      <w:r w:rsidR="001C6BAF">
        <w:rPr>
          <w:lang w:val="en-US"/>
        </w:rPr>
        <w:t xml:space="preserve"> </w:t>
      </w:r>
      <w:r w:rsidR="00453929">
        <w:rPr>
          <w:lang w:val="en-US"/>
        </w:rPr>
        <w:t>In general, PDCCH based and sequence based options are mainly considered</w:t>
      </w:r>
      <w:r w:rsidR="006935C4">
        <w:rPr>
          <w:lang w:val="en-US"/>
        </w:rPr>
        <w:t xml:space="preserve"> in the design</w:t>
      </w:r>
    </w:p>
    <w:p w14:paraId="73A6AD9C" w14:textId="3AA8CBC2" w:rsidR="004211DD" w:rsidRDefault="009873C6" w:rsidP="0036533C">
      <w:pPr>
        <w:jc w:val="both"/>
      </w:pPr>
      <w:r>
        <w:t>To analyse the pros and cons of sequence-based and PDCCH-based options, Table.1 gives more detailed discussion.</w:t>
      </w:r>
    </w:p>
    <w:p w14:paraId="22843C92" w14:textId="345AACC2" w:rsidR="00C079B1" w:rsidRPr="00514174" w:rsidRDefault="009873C6" w:rsidP="00514174">
      <w:pPr>
        <w:jc w:val="center"/>
        <w:rPr>
          <w:b/>
        </w:rPr>
      </w:pPr>
      <w:r w:rsidRPr="00514174">
        <w:rPr>
          <w:b/>
        </w:rPr>
        <w:lastRenderedPageBreak/>
        <w:t>Table. 1 Pros and Cons</w:t>
      </w:r>
      <w:r w:rsidR="00514174" w:rsidRPr="00514174">
        <w:rPr>
          <w:b/>
        </w:rPr>
        <w:t xml:space="preserve"> comparison for sequence-based and PDCCH based options</w:t>
      </w:r>
      <w:r w:rsidR="007C03BD">
        <w:rPr>
          <w:b/>
        </w:rPr>
        <w:t xml:space="preserve"> of power saving signal/channel</w:t>
      </w:r>
    </w:p>
    <w:tbl>
      <w:tblPr>
        <w:tblStyle w:val="TableGrid"/>
        <w:tblW w:w="0" w:type="auto"/>
        <w:tblLook w:val="04A0" w:firstRow="1" w:lastRow="0" w:firstColumn="1" w:lastColumn="0" w:noHBand="0" w:noVBand="1"/>
      </w:tblPr>
      <w:tblGrid>
        <w:gridCol w:w="1575"/>
        <w:gridCol w:w="3910"/>
        <w:gridCol w:w="4146"/>
      </w:tblGrid>
      <w:tr w:rsidR="002762ED" w14:paraId="496238CC" w14:textId="4D1B7386" w:rsidTr="00265F30">
        <w:tc>
          <w:tcPr>
            <w:tcW w:w="1575" w:type="dxa"/>
          </w:tcPr>
          <w:p w14:paraId="2B78EFD2" w14:textId="77777777" w:rsidR="002762ED" w:rsidRDefault="002762ED" w:rsidP="00F625DF">
            <w:pPr>
              <w:spacing w:after="0"/>
              <w:jc w:val="both"/>
            </w:pPr>
          </w:p>
        </w:tc>
        <w:tc>
          <w:tcPr>
            <w:tcW w:w="3910" w:type="dxa"/>
          </w:tcPr>
          <w:p w14:paraId="599522BB" w14:textId="3EFAEA6B" w:rsidR="002762ED" w:rsidRDefault="002762ED" w:rsidP="00F625DF">
            <w:pPr>
              <w:spacing w:after="0"/>
              <w:jc w:val="both"/>
            </w:pPr>
            <w:r>
              <w:t>Pros</w:t>
            </w:r>
          </w:p>
        </w:tc>
        <w:tc>
          <w:tcPr>
            <w:tcW w:w="4146" w:type="dxa"/>
          </w:tcPr>
          <w:p w14:paraId="312BCA93" w14:textId="15841D7B" w:rsidR="002762ED" w:rsidRDefault="002762ED" w:rsidP="00F625DF">
            <w:pPr>
              <w:spacing w:after="0"/>
              <w:jc w:val="both"/>
            </w:pPr>
            <w:r>
              <w:t>Cons</w:t>
            </w:r>
          </w:p>
        </w:tc>
      </w:tr>
      <w:tr w:rsidR="002762ED" w14:paraId="1C823C13" w14:textId="78073CA5" w:rsidTr="00265F30">
        <w:tc>
          <w:tcPr>
            <w:tcW w:w="1575" w:type="dxa"/>
          </w:tcPr>
          <w:p w14:paraId="3BF49AE8" w14:textId="1E2C7D6F" w:rsidR="002762ED" w:rsidRDefault="002762ED" w:rsidP="00F625DF">
            <w:pPr>
              <w:spacing w:after="0"/>
              <w:jc w:val="both"/>
            </w:pPr>
            <w:r>
              <w:t>Sequence-based</w:t>
            </w:r>
          </w:p>
        </w:tc>
        <w:tc>
          <w:tcPr>
            <w:tcW w:w="3910" w:type="dxa"/>
          </w:tcPr>
          <w:p w14:paraId="630F195A" w14:textId="786A68E7" w:rsidR="002762ED" w:rsidRDefault="002762ED" w:rsidP="00F625DF">
            <w:pPr>
              <w:pStyle w:val="ListParagraph"/>
              <w:numPr>
                <w:ilvl w:val="0"/>
                <w:numId w:val="23"/>
              </w:numPr>
              <w:spacing w:after="0"/>
            </w:pPr>
            <w:r>
              <w:t>Lower detection complexity</w:t>
            </w:r>
          </w:p>
          <w:p w14:paraId="31E7966A" w14:textId="064E87A5" w:rsidR="00FA2772" w:rsidRDefault="00FA2772" w:rsidP="00F625DF">
            <w:pPr>
              <w:pStyle w:val="ListParagraph"/>
              <w:numPr>
                <w:ilvl w:val="0"/>
                <w:numId w:val="23"/>
              </w:numPr>
              <w:spacing w:after="0"/>
            </w:pPr>
            <w:r>
              <w:t>More flexible UE multiplexing</w:t>
            </w:r>
            <w:r w:rsidR="00026D65">
              <w:t xml:space="preserve"> with CDM</w:t>
            </w:r>
            <w:r w:rsidR="00350FC2">
              <w:t xml:space="preserve"> manner and configuration of UE-specific and group-common sequence index</w:t>
            </w:r>
            <w:r w:rsidR="00026D65">
              <w:t xml:space="preserve"> </w:t>
            </w:r>
          </w:p>
        </w:tc>
        <w:tc>
          <w:tcPr>
            <w:tcW w:w="4146" w:type="dxa"/>
          </w:tcPr>
          <w:p w14:paraId="617FD630" w14:textId="77777777" w:rsidR="002762ED" w:rsidRDefault="002762ED" w:rsidP="00F625DF">
            <w:pPr>
              <w:pStyle w:val="ListParagraph"/>
              <w:numPr>
                <w:ilvl w:val="0"/>
                <w:numId w:val="23"/>
              </w:numPr>
              <w:spacing w:after="0"/>
            </w:pPr>
            <w:r>
              <w:t xml:space="preserve">Lower detection reliability without CRC protection </w:t>
            </w:r>
          </w:p>
          <w:p w14:paraId="646BF06A" w14:textId="77777777" w:rsidR="00FA2772" w:rsidRDefault="00B54622" w:rsidP="00F625DF">
            <w:pPr>
              <w:pStyle w:val="ListParagraph"/>
              <w:numPr>
                <w:ilvl w:val="0"/>
                <w:numId w:val="23"/>
              </w:numPr>
              <w:spacing w:after="0"/>
            </w:pPr>
            <w:r>
              <w:t>Specification efforts to</w:t>
            </w:r>
            <w:r w:rsidR="00FA2772">
              <w:t xml:space="preserve"> define new sequences and resources</w:t>
            </w:r>
            <w:r w:rsidR="00BC20DC">
              <w:t xml:space="preserve"> if sequence itself needs to carry </w:t>
            </w:r>
            <w:r w:rsidR="002F13BE">
              <w:t xml:space="preserve">new </w:t>
            </w:r>
            <w:r w:rsidR="00BC20DC">
              <w:t>message</w:t>
            </w:r>
            <w:r w:rsidR="002F13BE">
              <w:t xml:space="preserve"> for triggering adaptation</w:t>
            </w:r>
          </w:p>
          <w:p w14:paraId="4FBE5461" w14:textId="14F94129" w:rsidR="00F01C1B" w:rsidRDefault="00122EC4" w:rsidP="00F625DF">
            <w:pPr>
              <w:pStyle w:val="ListParagraph"/>
              <w:numPr>
                <w:ilvl w:val="0"/>
                <w:numId w:val="23"/>
              </w:numPr>
              <w:spacing w:after="0"/>
            </w:pPr>
            <w:r>
              <w:t>Indication</w:t>
            </w:r>
            <w:r w:rsidR="00F01C1B">
              <w:t xml:space="preserve"> carrying capability is low</w:t>
            </w:r>
          </w:p>
          <w:p w14:paraId="48AE7E93" w14:textId="6FCA9CF0" w:rsidR="00F01C1B" w:rsidRDefault="001C6062" w:rsidP="00F625DF">
            <w:pPr>
              <w:pStyle w:val="ListParagraph"/>
              <w:numPr>
                <w:ilvl w:val="0"/>
                <w:numId w:val="23"/>
              </w:numPr>
              <w:spacing w:after="0"/>
            </w:pPr>
            <w:r>
              <w:t>Forward compatibility is low</w:t>
            </w:r>
            <w:r w:rsidR="00827137">
              <w:t xml:space="preserve"> due to difficult to extend with new indication bits</w:t>
            </w:r>
          </w:p>
        </w:tc>
      </w:tr>
      <w:tr w:rsidR="002762ED" w14:paraId="31841C01" w14:textId="693AB853" w:rsidTr="00265F30">
        <w:tc>
          <w:tcPr>
            <w:tcW w:w="1575" w:type="dxa"/>
          </w:tcPr>
          <w:p w14:paraId="4B475707" w14:textId="46421569" w:rsidR="002762ED" w:rsidRDefault="002762ED" w:rsidP="00F625DF">
            <w:pPr>
              <w:spacing w:after="0"/>
              <w:jc w:val="both"/>
            </w:pPr>
            <w:r>
              <w:t>PDCCH-based</w:t>
            </w:r>
          </w:p>
        </w:tc>
        <w:tc>
          <w:tcPr>
            <w:tcW w:w="3910" w:type="dxa"/>
          </w:tcPr>
          <w:p w14:paraId="57173F2F" w14:textId="77777777" w:rsidR="002762ED" w:rsidRDefault="00857A26" w:rsidP="00F625DF">
            <w:pPr>
              <w:pStyle w:val="ListParagraph"/>
              <w:numPr>
                <w:ilvl w:val="0"/>
                <w:numId w:val="25"/>
              </w:numPr>
              <w:spacing w:after="0"/>
            </w:pPr>
            <w:r>
              <w:t>Higher reliability with CRC protection</w:t>
            </w:r>
          </w:p>
          <w:p w14:paraId="3954DDE4" w14:textId="77777777" w:rsidR="00857A26" w:rsidRDefault="00857A26" w:rsidP="00F625DF">
            <w:pPr>
              <w:pStyle w:val="ListParagraph"/>
              <w:numPr>
                <w:ilvl w:val="0"/>
                <w:numId w:val="25"/>
              </w:numPr>
              <w:spacing w:after="0"/>
            </w:pPr>
            <w:r>
              <w:t>Specification efforts is smaller</w:t>
            </w:r>
            <w:r w:rsidR="00AC077A">
              <w:t xml:space="preserve"> with new fields definition</w:t>
            </w:r>
          </w:p>
          <w:p w14:paraId="55FC10DA" w14:textId="77777777" w:rsidR="00AC077A" w:rsidRDefault="00122EC4" w:rsidP="00F625DF">
            <w:pPr>
              <w:pStyle w:val="ListParagraph"/>
              <w:numPr>
                <w:ilvl w:val="0"/>
                <w:numId w:val="25"/>
              </w:numPr>
              <w:spacing w:after="0"/>
            </w:pPr>
            <w:r>
              <w:t>Flexible indication capability to incorporate different fields for different needs</w:t>
            </w:r>
          </w:p>
          <w:p w14:paraId="0AE2953E" w14:textId="5395F868" w:rsidR="00122EC4" w:rsidRDefault="00122EC4" w:rsidP="00F625DF">
            <w:pPr>
              <w:pStyle w:val="ListParagraph"/>
              <w:numPr>
                <w:ilvl w:val="0"/>
                <w:numId w:val="25"/>
              </w:numPr>
              <w:spacing w:after="0"/>
            </w:pPr>
            <w:r>
              <w:t>Forward compatibility is good and easy to extend for new indication</w:t>
            </w:r>
          </w:p>
        </w:tc>
        <w:tc>
          <w:tcPr>
            <w:tcW w:w="4146" w:type="dxa"/>
          </w:tcPr>
          <w:p w14:paraId="104C9C65" w14:textId="15FA03B7" w:rsidR="002762ED" w:rsidRPr="00827137" w:rsidRDefault="00827137" w:rsidP="00F625DF">
            <w:pPr>
              <w:pStyle w:val="ListParagraph"/>
              <w:numPr>
                <w:ilvl w:val="0"/>
                <w:numId w:val="24"/>
              </w:numPr>
              <w:spacing w:after="0"/>
            </w:pPr>
            <w:r>
              <w:t>A bit higher detection complexity</w:t>
            </w:r>
            <w:r w:rsidR="00BF6F4F">
              <w:t xml:space="preserve"> since channel decoding is needed</w:t>
            </w:r>
          </w:p>
          <w:p w14:paraId="0CBE29B6" w14:textId="480545D0" w:rsidR="00827137" w:rsidRDefault="00827137" w:rsidP="00F625DF">
            <w:pPr>
              <w:pStyle w:val="ListParagraph"/>
              <w:numPr>
                <w:ilvl w:val="0"/>
                <w:numId w:val="24"/>
              </w:numPr>
              <w:spacing w:after="0"/>
            </w:pPr>
            <w:r>
              <w:rPr>
                <w:lang w:val="en-US"/>
              </w:rPr>
              <w:t>UE-specific or group-common specific type of DCI can be used. Thus UE multiplexing flexibility is not as high as sequence-based option.</w:t>
            </w:r>
          </w:p>
        </w:tc>
      </w:tr>
    </w:tbl>
    <w:p w14:paraId="7754D5DC" w14:textId="77777777" w:rsidR="004211DD" w:rsidRPr="00100C55" w:rsidRDefault="004211DD" w:rsidP="0036533C">
      <w:pPr>
        <w:jc w:val="both"/>
      </w:pPr>
    </w:p>
    <w:p w14:paraId="24FCA76D" w14:textId="545EC5F4" w:rsidR="00F05178" w:rsidRDefault="00F05178" w:rsidP="00F625DF">
      <w:pPr>
        <w:rPr>
          <w:lang w:val="en-US"/>
        </w:rPr>
      </w:pPr>
      <w:r>
        <w:rPr>
          <w:lang w:val="en-US"/>
        </w:rPr>
        <w:t xml:space="preserve">To </w:t>
      </w:r>
      <w:r w:rsidR="007D4F43">
        <w:rPr>
          <w:lang w:val="en-US"/>
        </w:rPr>
        <w:t>compare</w:t>
      </w:r>
      <w:r>
        <w:rPr>
          <w:lang w:val="en-US"/>
        </w:rPr>
        <w:t xml:space="preserve"> the </w:t>
      </w:r>
      <w:r w:rsidR="007D4F43">
        <w:rPr>
          <w:lang w:val="en-US"/>
        </w:rPr>
        <w:t xml:space="preserve">UE detection complexity and </w:t>
      </w:r>
      <w:r>
        <w:rPr>
          <w:lang w:val="en-US"/>
        </w:rPr>
        <w:t>power consumption of PDCCH-based</w:t>
      </w:r>
      <w:r w:rsidR="007D4F43">
        <w:rPr>
          <w:lang w:val="en-US"/>
        </w:rPr>
        <w:t xml:space="preserve"> and sequence-based</w:t>
      </w:r>
      <w:r>
        <w:rPr>
          <w:lang w:val="en-US"/>
        </w:rPr>
        <w:t xml:space="preserve"> method</w:t>
      </w:r>
      <w:r w:rsidR="007D4F43">
        <w:rPr>
          <w:lang w:val="en-US"/>
        </w:rPr>
        <w:t xml:space="preserve">, the following estimation can be observed based on the </w:t>
      </w:r>
      <w:r w:rsidR="008C0A8E">
        <w:rPr>
          <w:lang w:val="en-US"/>
        </w:rPr>
        <w:t xml:space="preserve">agreed </w:t>
      </w:r>
      <w:r w:rsidR="007D4F43">
        <w:rPr>
          <w:lang w:val="en-US"/>
        </w:rPr>
        <w:t>power model</w:t>
      </w:r>
      <w:r>
        <w:rPr>
          <w:lang w:val="en-US"/>
        </w:rPr>
        <w:t xml:space="preserve">: </w:t>
      </w:r>
    </w:p>
    <w:p w14:paraId="7FC00A0B" w14:textId="71DDE94D" w:rsidR="003B5F9B" w:rsidRPr="003B5F9B" w:rsidRDefault="003B5F9B" w:rsidP="00F625DF">
      <w:pPr>
        <w:rPr>
          <w:lang w:val="en-US"/>
        </w:rPr>
      </w:pPr>
      <w:r>
        <w:rPr>
          <w:lang w:val="en-US"/>
        </w:rPr>
        <w:t>For PDCCH-based method</w:t>
      </w:r>
      <w:r w:rsidR="009A5A45">
        <w:rPr>
          <w:lang w:val="en-US"/>
        </w:rPr>
        <w:t>, if we assume FR1</w:t>
      </w:r>
      <w:r>
        <w:rPr>
          <w:lang w:val="en-US"/>
        </w:rPr>
        <w:t>:</w:t>
      </w:r>
    </w:p>
    <w:p w14:paraId="6345FAC4" w14:textId="15D71911" w:rsidR="00F05178" w:rsidRDefault="00F05178" w:rsidP="00F625DF">
      <w:pPr>
        <w:pStyle w:val="ListParagraph"/>
        <w:numPr>
          <w:ilvl w:val="0"/>
          <w:numId w:val="26"/>
        </w:numPr>
        <w:rPr>
          <w:lang w:val="en-US"/>
        </w:rPr>
      </w:pPr>
      <w:r w:rsidRPr="007D4F43">
        <w:rPr>
          <w:lang w:val="en-US"/>
        </w:rPr>
        <w:t>PDCCH-only for same slot scheduling = PDCCH_buffering_and_preprocessing + Blind_decoding + PDSCH_buffering</w:t>
      </w:r>
      <w:r w:rsidR="008F25D0" w:rsidRPr="007D4F43">
        <w:rPr>
          <w:lang w:val="en-US"/>
        </w:rPr>
        <w:t xml:space="preserve"> = 100</w:t>
      </w:r>
    </w:p>
    <w:p w14:paraId="77E95061" w14:textId="42BF23EB" w:rsidR="00F05178" w:rsidRDefault="006B4CC0" w:rsidP="00F625DF">
      <w:pPr>
        <w:pStyle w:val="ListParagraph"/>
        <w:numPr>
          <w:ilvl w:val="0"/>
          <w:numId w:val="26"/>
        </w:numPr>
        <w:rPr>
          <w:lang w:val="en-US"/>
        </w:rPr>
      </w:pPr>
      <w:r>
        <w:rPr>
          <w:lang w:val="en-US"/>
        </w:rPr>
        <w:t xml:space="preserve">If </w:t>
      </w:r>
      <w:r w:rsidRPr="006B4CC0">
        <w:rPr>
          <w:lang w:val="en-US"/>
        </w:rPr>
        <w:t>α is the ratio of PDCCH candidates to the max number of PDCCH candidates in th</w:t>
      </w:r>
      <w:r>
        <w:rPr>
          <w:lang w:val="en-US"/>
        </w:rPr>
        <w:t xml:space="preserve">e reference configuration (α&gt;0), </w:t>
      </w:r>
      <w:r w:rsidRPr="006B4CC0">
        <w:rPr>
          <w:lang w:val="en-US"/>
        </w:rPr>
        <w:t>P(α) = α ∙ Pt + (1 – α) ∙ 0.7Pt</w:t>
      </w:r>
      <w:r>
        <w:rPr>
          <w:lang w:val="en-US"/>
        </w:rPr>
        <w:t xml:space="preserve"> = 70 + </w:t>
      </w:r>
      <w:r w:rsidRPr="006B4CC0">
        <w:rPr>
          <w:lang w:val="en-US"/>
        </w:rPr>
        <w:t>α ∙</w:t>
      </w:r>
      <w:r>
        <w:rPr>
          <w:lang w:val="en-US"/>
        </w:rPr>
        <w:t xml:space="preserve"> 30, where Pt = 100.</w:t>
      </w:r>
    </w:p>
    <w:p w14:paraId="60C1799F" w14:textId="518B664B" w:rsidR="006B4CC0" w:rsidRPr="006B4CC0" w:rsidRDefault="006B4CC0" w:rsidP="00F625DF">
      <w:pPr>
        <w:pStyle w:val="ListParagraph"/>
        <w:numPr>
          <w:ilvl w:val="0"/>
          <w:numId w:val="26"/>
        </w:numPr>
        <w:rPr>
          <w:lang w:val="en-US"/>
        </w:rPr>
      </w:pPr>
      <w:r>
        <w:rPr>
          <w:lang w:val="en-US"/>
        </w:rPr>
        <w:t xml:space="preserve">Thus for pure </w:t>
      </w:r>
      <w:r w:rsidRPr="007D4F43">
        <w:rPr>
          <w:lang w:val="en-US"/>
        </w:rPr>
        <w:t>Blind_decoding = 30</w:t>
      </w:r>
      <w:r>
        <w:rPr>
          <w:lang w:val="en-US"/>
        </w:rPr>
        <w:t>,</w:t>
      </w:r>
    </w:p>
    <w:p w14:paraId="10DB7B54" w14:textId="6511DBCF" w:rsidR="00CF35F7" w:rsidRPr="007D4F43" w:rsidRDefault="00F05178" w:rsidP="00F625DF">
      <w:pPr>
        <w:pStyle w:val="ListParagraph"/>
        <w:numPr>
          <w:ilvl w:val="0"/>
          <w:numId w:val="26"/>
        </w:numPr>
        <w:rPr>
          <w:lang w:val="en-US"/>
        </w:rPr>
      </w:pPr>
      <w:r w:rsidRPr="007D4F43">
        <w:rPr>
          <w:lang w:val="en-US"/>
        </w:rPr>
        <w:t xml:space="preserve">PDCCH-only for </w:t>
      </w:r>
      <w:r w:rsidR="00AD1825" w:rsidRPr="007D4F43">
        <w:rPr>
          <w:lang w:val="en-US"/>
        </w:rPr>
        <w:t>cross-slot scheduling = PDCCH_buffering_and_preprocessing + Blind_decoding</w:t>
      </w:r>
      <w:r w:rsidR="008F25D0" w:rsidRPr="007D4F43">
        <w:rPr>
          <w:lang w:val="en-US"/>
        </w:rPr>
        <w:t xml:space="preserve"> = 70</w:t>
      </w:r>
    </w:p>
    <w:p w14:paraId="792A7527" w14:textId="2A627527" w:rsidR="008F25D0" w:rsidRPr="007D4F43" w:rsidRDefault="006B4CC0" w:rsidP="00F625DF">
      <w:pPr>
        <w:pStyle w:val="ListParagraph"/>
        <w:numPr>
          <w:ilvl w:val="0"/>
          <w:numId w:val="26"/>
        </w:numPr>
        <w:rPr>
          <w:lang w:val="en-US"/>
        </w:rPr>
      </w:pPr>
      <w:r>
        <w:rPr>
          <w:lang w:val="en-US"/>
        </w:rPr>
        <w:t>Thus</w:t>
      </w:r>
      <w:r w:rsidR="00127BC0">
        <w:rPr>
          <w:lang w:val="en-US"/>
        </w:rPr>
        <w:t xml:space="preserve"> PDCCH_buffering_and_preprocessing = 40</w:t>
      </w:r>
    </w:p>
    <w:p w14:paraId="65EA3BDE" w14:textId="7B2EBDEC" w:rsidR="008F25D0" w:rsidRDefault="00B661E3" w:rsidP="00F625DF">
      <w:pPr>
        <w:pStyle w:val="ListParagraph"/>
        <w:numPr>
          <w:ilvl w:val="0"/>
          <w:numId w:val="26"/>
        </w:numPr>
        <w:rPr>
          <w:lang w:val="en-US"/>
        </w:rPr>
      </w:pPr>
      <w:r>
        <w:rPr>
          <w:lang w:val="en-US"/>
        </w:rPr>
        <w:t xml:space="preserve">If assuming two OFDM symbol </w:t>
      </w:r>
      <w:r w:rsidR="00127BC0">
        <w:rPr>
          <w:lang w:val="en-US"/>
        </w:rPr>
        <w:t xml:space="preserve">PDCCH, the PDCCH-based power saving signal/channel detection power consumption is </w:t>
      </w:r>
      <w:r w:rsidR="008F25D0" w:rsidRPr="007D4F43">
        <w:rPr>
          <w:lang w:val="en-US"/>
        </w:rPr>
        <w:t>40</w:t>
      </w:r>
      <w:r w:rsidR="00127BC0">
        <w:rPr>
          <w:lang w:val="en-US"/>
        </w:rPr>
        <w:t xml:space="preserve"> </w:t>
      </w:r>
      <w:r w:rsidR="008F25D0" w:rsidRPr="007D4F43">
        <w:rPr>
          <w:lang w:val="en-US"/>
        </w:rPr>
        <w:t>~</w:t>
      </w:r>
      <w:r w:rsidR="00127BC0">
        <w:rPr>
          <w:lang w:val="en-US"/>
        </w:rPr>
        <w:t xml:space="preserve"> </w:t>
      </w:r>
      <w:r w:rsidR="008F25D0" w:rsidRPr="007D4F43">
        <w:rPr>
          <w:lang w:val="en-US"/>
        </w:rPr>
        <w:t>70</w:t>
      </w:r>
      <w:r w:rsidR="009A5A45">
        <w:rPr>
          <w:lang w:val="en-US"/>
        </w:rPr>
        <w:t>, which depends on the designed blind detection times</w:t>
      </w:r>
      <w:r w:rsidR="0074448A">
        <w:rPr>
          <w:lang w:val="en-US"/>
        </w:rPr>
        <w:t>.</w:t>
      </w:r>
    </w:p>
    <w:p w14:paraId="7657EEE9" w14:textId="7606FAB3" w:rsidR="006B4CC0" w:rsidRDefault="006B4CC0" w:rsidP="00F625DF">
      <w:pPr>
        <w:rPr>
          <w:lang w:val="en-US"/>
        </w:rPr>
      </w:pPr>
      <w:r>
        <w:rPr>
          <w:lang w:val="en-US"/>
        </w:rPr>
        <w:t>For sequence-based method</w:t>
      </w:r>
      <w:r w:rsidR="009A5A45">
        <w:rPr>
          <w:lang w:val="en-US"/>
        </w:rPr>
        <w:t>, if we assume FR1:</w:t>
      </w:r>
    </w:p>
    <w:p w14:paraId="608B71BD" w14:textId="58B264C9" w:rsidR="009A5A45" w:rsidRPr="00E7765D" w:rsidRDefault="00F110E7" w:rsidP="00F625DF">
      <w:pPr>
        <w:pStyle w:val="ListParagraph"/>
        <w:numPr>
          <w:ilvl w:val="0"/>
          <w:numId w:val="27"/>
        </w:numPr>
        <w:rPr>
          <w:lang w:val="en-US"/>
        </w:rPr>
      </w:pPr>
      <w:r>
        <w:rPr>
          <w:lang w:val="en-US"/>
        </w:rPr>
        <w:t xml:space="preserve">The power consumption of SSB or CSI-RS processing can be utilized as reference. Thus 2 SSB processing in a slot = 100. </w:t>
      </w:r>
      <w:r w:rsidR="0074448A">
        <w:rPr>
          <w:lang w:val="en-US"/>
        </w:rPr>
        <w:t>This mean 100 units are needed to process 8 symbols.</w:t>
      </w:r>
    </w:p>
    <w:p w14:paraId="14913EA4" w14:textId="419FBF0D" w:rsidR="00E7765D" w:rsidRDefault="00E7765D" w:rsidP="00F625DF">
      <w:pPr>
        <w:pStyle w:val="ListParagraph"/>
        <w:numPr>
          <w:ilvl w:val="0"/>
          <w:numId w:val="27"/>
        </w:numPr>
        <w:rPr>
          <w:lang w:val="en-US"/>
        </w:rPr>
      </w:pPr>
      <w:r>
        <w:t xml:space="preserve">Thus depending on the designed </w:t>
      </w:r>
      <w:r>
        <w:rPr>
          <w:lang w:val="en-US"/>
        </w:rPr>
        <w:t xml:space="preserve">message carrying capability and UE multiplexing capability, if a 4 symbol </w:t>
      </w:r>
      <w:r w:rsidR="0074448A">
        <w:rPr>
          <w:lang w:val="en-US"/>
        </w:rPr>
        <w:t>power saving signal/channel is assumed, around 50 units are needed.</w:t>
      </w:r>
    </w:p>
    <w:p w14:paraId="287125D3" w14:textId="167B9D1E" w:rsidR="0074448A" w:rsidRDefault="0074448A" w:rsidP="00F625DF">
      <w:pPr>
        <w:rPr>
          <w:lang w:val="en-US"/>
        </w:rPr>
      </w:pPr>
      <w:r>
        <w:rPr>
          <w:lang w:val="en-US"/>
        </w:rPr>
        <w:t>Therefore, from the above rough analysis, the UE detection efforts in terms of power consumption should not make huge difference between sequence-based and PDCCH-based method, although intuitively the complexity of PDCCH blind decoding can be higher.</w:t>
      </w:r>
      <w:r w:rsidR="008C0A8E">
        <w:rPr>
          <w:lang w:val="en-US"/>
        </w:rPr>
        <w:t xml:space="preserve"> </w:t>
      </w:r>
      <w:r w:rsidR="007433AD">
        <w:rPr>
          <w:lang w:val="en-US"/>
        </w:rPr>
        <w:t>It is n</w:t>
      </w:r>
      <w:r w:rsidR="00CD0AEE">
        <w:rPr>
          <w:lang w:val="en-US"/>
        </w:rPr>
        <w:t>ote</w:t>
      </w:r>
      <w:r w:rsidR="007433AD">
        <w:rPr>
          <w:lang w:val="en-US"/>
        </w:rPr>
        <w:t>d</w:t>
      </w:r>
      <w:r w:rsidR="00CD0AEE">
        <w:rPr>
          <w:lang w:val="en-US"/>
        </w:rPr>
        <w:t xml:space="preserve"> that</w:t>
      </w:r>
      <w:r w:rsidR="00CD0AEE" w:rsidRPr="00CD0AEE">
        <w:rPr>
          <w:lang w:val="en-US"/>
        </w:rPr>
        <w:t xml:space="preserve">, as an UE implementation option, DM-RS sequence correlation in PDCCH can be </w:t>
      </w:r>
      <w:r w:rsidR="007433AD">
        <w:rPr>
          <w:lang w:val="en-US"/>
        </w:rPr>
        <w:t>performed</w:t>
      </w:r>
      <w:r w:rsidR="00CD0AEE" w:rsidRPr="00CD0AEE">
        <w:rPr>
          <w:lang w:val="en-US"/>
        </w:rPr>
        <w:t xml:space="preserve"> </w:t>
      </w:r>
      <w:r w:rsidR="006935C4">
        <w:rPr>
          <w:lang w:val="en-US"/>
        </w:rPr>
        <w:t xml:space="preserve">before </w:t>
      </w:r>
      <w:r w:rsidR="00CD0AEE">
        <w:rPr>
          <w:lang w:val="en-US"/>
        </w:rPr>
        <w:t xml:space="preserve">further power reduction is required in PDCCH-based method. In this case, </w:t>
      </w:r>
      <w:r w:rsidR="00CD0AEE" w:rsidRPr="00CD0AEE">
        <w:rPr>
          <w:lang w:val="en-US"/>
        </w:rPr>
        <w:t xml:space="preserve">if and only if the DM-RS sequence correlation passes </w:t>
      </w:r>
      <w:r w:rsidR="007433AD">
        <w:rPr>
          <w:lang w:val="en-US"/>
        </w:rPr>
        <w:t>a certain</w:t>
      </w:r>
      <w:r w:rsidR="00CD0AEE" w:rsidRPr="00CD0AEE">
        <w:rPr>
          <w:lang w:val="en-US"/>
        </w:rPr>
        <w:t xml:space="preserve"> threshold or the channel estimation from DM-RS </w:t>
      </w:r>
      <w:r w:rsidR="007433AD">
        <w:rPr>
          <w:lang w:val="en-US"/>
        </w:rPr>
        <w:t>shows</w:t>
      </w:r>
      <w:r w:rsidR="00CD0AEE" w:rsidRPr="00CD0AEE">
        <w:rPr>
          <w:lang w:val="en-US"/>
        </w:rPr>
        <w:t xml:space="preserve"> good enough channel </w:t>
      </w:r>
      <w:r w:rsidR="007433AD">
        <w:rPr>
          <w:lang w:val="en-US"/>
        </w:rPr>
        <w:t>status</w:t>
      </w:r>
      <w:r w:rsidR="00CD0AEE">
        <w:rPr>
          <w:lang w:val="en-US"/>
        </w:rPr>
        <w:t>, PDCCH decoding is carried out.</w:t>
      </w:r>
      <w:r w:rsidR="00653F6B">
        <w:rPr>
          <w:lang w:val="en-US"/>
        </w:rPr>
        <w:t xml:space="preserve"> This type of the design was agreed for the transmission burst identification in NR-U. The agreement in NR-U is described as following.</w:t>
      </w:r>
    </w:p>
    <w:p w14:paraId="779B764B" w14:textId="77777777" w:rsidR="00653F6B" w:rsidRPr="001243DE" w:rsidRDefault="00653F6B" w:rsidP="00653F6B">
      <w:pPr>
        <w:ind w:leftChars="300" w:left="600"/>
        <w:rPr>
          <w:rFonts w:cs="Times"/>
          <w:lang w:eastAsia="x-none"/>
        </w:rPr>
      </w:pPr>
      <w:r w:rsidRPr="001243DE">
        <w:rPr>
          <w:rFonts w:cs="Times"/>
          <w:highlight w:val="green"/>
          <w:lang w:eastAsia="x-none"/>
        </w:rPr>
        <w:t>Agreement:</w:t>
      </w:r>
    </w:p>
    <w:p w14:paraId="22160845" w14:textId="77777777" w:rsidR="00653F6B" w:rsidRPr="001243DE" w:rsidRDefault="00653F6B" w:rsidP="00653F6B">
      <w:pPr>
        <w:numPr>
          <w:ilvl w:val="0"/>
          <w:numId w:val="226"/>
        </w:numPr>
        <w:spacing w:after="0"/>
        <w:ind w:leftChars="300" w:left="960"/>
        <w:rPr>
          <w:rFonts w:cs="Times"/>
          <w:lang w:eastAsia="x-none"/>
        </w:rPr>
      </w:pPr>
      <w:r w:rsidRPr="001243DE">
        <w:rPr>
          <w:rFonts w:cs="Times"/>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C114E35" w14:textId="77777777" w:rsidR="00653F6B" w:rsidRPr="00516EC0" w:rsidRDefault="00653F6B" w:rsidP="00F625DF"/>
    <w:p w14:paraId="00096A69" w14:textId="028E8404" w:rsidR="00DC6DC2" w:rsidRDefault="001F7572" w:rsidP="00F625DF">
      <w:pPr>
        <w:rPr>
          <w:lang w:val="en-US"/>
        </w:rPr>
      </w:pPr>
      <w:r>
        <w:rPr>
          <w:lang w:val="en-US"/>
        </w:rPr>
        <w:t xml:space="preserve">From UE perspective, for the judgement of mis-detection or not, CRC is very useful. When CRC protected signal </w:t>
      </w:r>
      <w:r w:rsidR="00924160">
        <w:rPr>
          <w:lang w:val="en-US"/>
        </w:rPr>
        <w:t>indicates</w:t>
      </w:r>
      <w:r>
        <w:rPr>
          <w:lang w:val="en-US"/>
        </w:rPr>
        <w:t xml:space="preserve"> UE can sleep, UE safely assume</w:t>
      </w:r>
      <w:r w:rsidR="00A004B3">
        <w:rPr>
          <w:lang w:val="en-US"/>
        </w:rPr>
        <w:t>s</w:t>
      </w:r>
      <w:r>
        <w:rPr>
          <w:lang w:val="en-US"/>
        </w:rPr>
        <w:t xml:space="preserve"> </w:t>
      </w:r>
      <w:r w:rsidR="00A004B3">
        <w:rPr>
          <w:lang w:val="en-US"/>
        </w:rPr>
        <w:t>there will be no scheduling</w:t>
      </w:r>
      <w:r w:rsidR="00924160">
        <w:rPr>
          <w:lang w:val="en-US"/>
        </w:rPr>
        <w:t xml:space="preserve">. If </w:t>
      </w:r>
      <w:r>
        <w:rPr>
          <w:lang w:val="en-US"/>
        </w:rPr>
        <w:t>CRC protec</w:t>
      </w:r>
      <w:r w:rsidR="00924160">
        <w:rPr>
          <w:lang w:val="en-US"/>
        </w:rPr>
        <w:t xml:space="preserve">tion is not available, UE should wake-up more often for taking into account the possibility of mis-detection. Mis-detection causes </w:t>
      </w:r>
      <w:r w:rsidR="00A004B3">
        <w:rPr>
          <w:lang w:val="en-US"/>
        </w:rPr>
        <w:t>incorrect PDCCH monitoring skipping</w:t>
      </w:r>
      <w:r w:rsidR="00924160">
        <w:rPr>
          <w:lang w:val="en-US"/>
        </w:rPr>
        <w:t xml:space="preserve"> when gNB </w:t>
      </w:r>
      <w:r w:rsidR="00E868F7">
        <w:rPr>
          <w:lang w:val="en-US"/>
        </w:rPr>
        <w:t xml:space="preserve">does </w:t>
      </w:r>
      <w:r w:rsidR="00924160">
        <w:rPr>
          <w:lang w:val="en-US"/>
        </w:rPr>
        <w:t>indicate traffic and it has large impact on the latency and user experience.</w:t>
      </w:r>
    </w:p>
    <w:p w14:paraId="489FC25B" w14:textId="0E37417E" w:rsidR="00265F30" w:rsidRDefault="00265F30" w:rsidP="00F625DF">
      <w:pPr>
        <w:rPr>
          <w:lang w:val="en-US"/>
        </w:rPr>
      </w:pPr>
      <w:r>
        <w:rPr>
          <w:lang w:val="en-US"/>
        </w:rPr>
        <w:t xml:space="preserve">If the power saving signal/channel only fulfills simplest functionality with just ON/OFF switching, sequence-based option </w:t>
      </w:r>
      <w:r w:rsidR="00973CC3">
        <w:rPr>
          <w:lang w:val="en-US"/>
        </w:rPr>
        <w:t>can be still possibility</w:t>
      </w:r>
      <w:r>
        <w:rPr>
          <w:lang w:val="en-US"/>
        </w:rPr>
        <w:t>. However, as can be seen in all the previous discussion, more functionalities are under discussion for efficient triggering adaptation. As presented in the Table.1, PDCCH-based method has more advantages in supporting more reliable power saving signal/channel with flexible indication and forward compatibility. The UE multiplexing can be realized by TDM, FDM or group-common DCI design manners</w:t>
      </w:r>
      <w:r w:rsidR="00973CC3">
        <w:rPr>
          <w:rFonts w:hint="eastAsia"/>
          <w:lang w:val="en-US" w:eastAsia="ja-JP"/>
        </w:rPr>
        <w:t xml:space="preserve"> where multiple UE's power saving signal are mapped on one DCI like TPC command</w:t>
      </w:r>
      <w:r>
        <w:rPr>
          <w:lang w:val="en-US"/>
        </w:rPr>
        <w:t>.</w:t>
      </w:r>
    </w:p>
    <w:p w14:paraId="4BB35B45" w14:textId="77777777" w:rsidR="00CA7A0F" w:rsidRDefault="00CA7A0F" w:rsidP="00CA7A0F">
      <w:pPr>
        <w:rPr>
          <w:lang w:eastAsia="zh-CN"/>
        </w:rPr>
      </w:pPr>
      <w:r>
        <w:rPr>
          <w:lang w:val="en-US"/>
        </w:rPr>
        <w:t xml:space="preserve">To achieve more reliable detection, the legacy SSB, </w:t>
      </w:r>
      <w:r w:rsidRPr="00810D7F">
        <w:rPr>
          <w:lang w:eastAsia="zh-CN"/>
        </w:rPr>
        <w:t>TRS, CSI-RS type RS,</w:t>
      </w:r>
      <w:r>
        <w:rPr>
          <w:lang w:eastAsia="zh-CN"/>
        </w:rPr>
        <w:t xml:space="preserve"> and PDCCH DMRS can also be used to assist the detection. This can be achieved by proper resource linkage configuration of power saving signal and all these channel/RS, in the condition that these channel/RS do not carry any new indication. The specification efforts of designing power saving signal-channel does not require considering new RS and sequence in our understanding.</w:t>
      </w:r>
    </w:p>
    <w:p w14:paraId="1E9AEEF5" w14:textId="195FEF2D" w:rsidR="0074448A" w:rsidRDefault="00265F30" w:rsidP="00F625DF">
      <w:pPr>
        <w:rPr>
          <w:lang w:val="en-US"/>
        </w:rPr>
      </w:pPr>
      <w:r>
        <w:rPr>
          <w:lang w:val="en-US"/>
        </w:rPr>
        <w:t>Based on the analysis</w:t>
      </w:r>
      <w:r w:rsidR="00265A34">
        <w:rPr>
          <w:lang w:val="en-US"/>
        </w:rPr>
        <w:t>, PDCCH-based method is more desirable:</w:t>
      </w:r>
    </w:p>
    <w:p w14:paraId="55983FEC" w14:textId="1F9AE5A2" w:rsidR="00265A34" w:rsidRPr="00265A34" w:rsidRDefault="00265A34" w:rsidP="00F625DF">
      <w:pPr>
        <w:rPr>
          <w:b/>
          <w:lang w:val="en-US"/>
        </w:rPr>
      </w:pPr>
      <w:r w:rsidRPr="00265A34">
        <w:rPr>
          <w:b/>
          <w:lang w:val="en-US"/>
        </w:rPr>
        <w:t xml:space="preserve">Proposal </w:t>
      </w:r>
      <w:r w:rsidR="00B74162">
        <w:rPr>
          <w:b/>
          <w:lang w:val="en-US"/>
        </w:rPr>
        <w:t>6</w:t>
      </w:r>
      <w:r w:rsidRPr="00265A34">
        <w:rPr>
          <w:b/>
          <w:lang w:val="en-US"/>
        </w:rPr>
        <w:t>: PDCCH-based design principle should be utilized for power saving signal/channel.</w:t>
      </w:r>
      <w:r w:rsidR="00587D2B">
        <w:rPr>
          <w:b/>
          <w:lang w:val="en-US"/>
        </w:rPr>
        <w:t xml:space="preserve"> DMRS of PDCCH can be used as </w:t>
      </w:r>
      <w:r w:rsidR="002E597C" w:rsidRPr="002E597C">
        <w:rPr>
          <w:b/>
          <w:lang w:val="en-US"/>
        </w:rPr>
        <w:t>sequence-based</w:t>
      </w:r>
      <w:r w:rsidR="002E597C">
        <w:rPr>
          <w:b/>
          <w:lang w:val="en-US"/>
        </w:rPr>
        <w:t xml:space="preserve"> identification of the PDCCH as the implementation option.</w:t>
      </w:r>
    </w:p>
    <w:p w14:paraId="13877524" w14:textId="306B4DF8" w:rsidR="00265A34" w:rsidRPr="0074448A" w:rsidRDefault="00265A34" w:rsidP="00F625DF">
      <w:pPr>
        <w:rPr>
          <w:lang w:val="en-US"/>
        </w:rPr>
      </w:pPr>
    </w:p>
    <w:p w14:paraId="5254D693" w14:textId="190067F5" w:rsidR="00905069" w:rsidRPr="00036DD5" w:rsidRDefault="00905069" w:rsidP="00F625DF">
      <w:pPr>
        <w:rPr>
          <w:u w:val="single"/>
          <w:lang w:val="en-US"/>
        </w:rPr>
      </w:pPr>
      <w:r w:rsidRPr="00036DD5">
        <w:rPr>
          <w:u w:val="single"/>
          <w:lang w:val="en-US"/>
        </w:rPr>
        <w:t>On triggering UE adaptation to DRX operation</w:t>
      </w:r>
    </w:p>
    <w:p w14:paraId="3C0B492E" w14:textId="5D4E56F4" w:rsidR="00036DD5" w:rsidRDefault="00DB382F" w:rsidP="00F625DF">
      <w:pPr>
        <w:rPr>
          <w:lang w:val="en-US"/>
        </w:rPr>
      </w:pPr>
      <w:r>
        <w:rPr>
          <w:lang w:val="en-US"/>
        </w:rPr>
        <w:t xml:space="preserve">Configuring power saving signal/channel along with DRX configuration is a typical manner for triggering adaptation. </w:t>
      </w:r>
    </w:p>
    <w:p w14:paraId="4CA2D3AB" w14:textId="0E6479AD" w:rsidR="00036DD5" w:rsidRDefault="0040121A" w:rsidP="00F625DF">
      <w:pPr>
        <w:rPr>
          <w:lang w:val="en-US"/>
        </w:rPr>
      </w:pPr>
      <w:r>
        <w:rPr>
          <w:lang w:val="en-US"/>
        </w:rPr>
        <w:t xml:space="preserve">For better traffic adaptation, the DRX configuration or parameter can be adjusted by gNB. To assist the adaptation, from </w:t>
      </w:r>
      <w:r w:rsidR="000F4187">
        <w:rPr>
          <w:lang w:val="en-US"/>
        </w:rPr>
        <w:t>the UE side, if the traffic characteristic information</w:t>
      </w:r>
      <w:r w:rsidR="00F10F7E">
        <w:rPr>
          <w:lang w:val="en-US"/>
        </w:rPr>
        <w:t xml:space="preserve"> is available, UE assistance information </w:t>
      </w:r>
      <w:r>
        <w:rPr>
          <w:lang w:val="en-US"/>
        </w:rPr>
        <w:t>can be reported to facilitate the gNB for more efficient estimation on more appropriate DRX configuration, which can have better tradeoff of power saving and traffic latency requirement.</w:t>
      </w:r>
      <w:r w:rsidR="00382258">
        <w:rPr>
          <w:lang w:val="en-US"/>
        </w:rPr>
        <w:t xml:space="preserve"> The concrete parameters and contents to facilitate </w:t>
      </w:r>
      <w:r w:rsidR="00DE4CBB">
        <w:rPr>
          <w:lang w:val="en-US"/>
        </w:rPr>
        <w:t>the adaptation of DRX and other aspects, e.g. BWP and MIMO can be considered together for UE assistance information reporting.</w:t>
      </w:r>
    </w:p>
    <w:p w14:paraId="54179D3B" w14:textId="09B0AC43" w:rsidR="00D34FC7" w:rsidRPr="00921681" w:rsidRDefault="00382258" w:rsidP="00F625DF">
      <w:r>
        <w:rPr>
          <w:lang w:val="en-US"/>
        </w:rPr>
        <w:t xml:space="preserve">Another consideration is </w:t>
      </w:r>
      <w:r w:rsidR="001844D1">
        <w:rPr>
          <w:lang w:val="en-US"/>
        </w:rPr>
        <w:t>regarding how DRX operation can be better adapted to UL-driven traffic</w:t>
      </w:r>
      <w:r w:rsidR="004040FC">
        <w:rPr>
          <w:lang w:val="en-US"/>
        </w:rPr>
        <w:t>. In Figure.</w:t>
      </w:r>
      <w:r w:rsidR="00B74162">
        <w:rPr>
          <w:lang w:val="en-US"/>
        </w:rPr>
        <w:t>2</w:t>
      </w:r>
      <w:r w:rsidR="00D34FC7">
        <w:rPr>
          <w:lang w:val="en-US"/>
        </w:rPr>
        <w:t>,</w:t>
      </w:r>
      <w:r w:rsidR="00307C1C" w:rsidRPr="00307C1C">
        <w:rPr>
          <w:lang w:val="en-US"/>
        </w:rPr>
        <w:t xml:space="preserve"> new traffic arrives near the end of UE active period</w:t>
      </w:r>
      <w:r w:rsidR="00307C1C">
        <w:rPr>
          <w:lang w:val="en-US"/>
        </w:rPr>
        <w:t xml:space="preserve"> but UE has no chance to send SR or BSR. It is possible that the gNB’s understanding is it has already cleared all the UL traffic buffer and no need to schedule the UE again to start the </w:t>
      </w:r>
      <w:r w:rsidR="00307C1C" w:rsidRPr="00307C1C">
        <w:rPr>
          <w:lang w:val="en-US"/>
        </w:rPr>
        <w:t>drx-Inactivity timer</w:t>
      </w:r>
      <w:r w:rsidR="00307C1C">
        <w:rPr>
          <w:lang w:val="en-US"/>
        </w:rPr>
        <w:t>. Then naturally, although UE can send SR at the next available opportunity, the UE will not expect any further scheduling and then go to sleep during DRX_OFF period. In the next DRX cycle, gNB can indicate with power saving signal/channel that the UE should not skipping next DRX_ON period. Then the UL traffic can be scheduled. In this case, the UE needs to go</w:t>
      </w:r>
      <w:r w:rsidR="0005386D">
        <w:rPr>
          <w:lang w:val="en-US"/>
        </w:rPr>
        <w:t xml:space="preserve"> through unnecessary </w:t>
      </w:r>
      <w:r w:rsidR="00307C1C" w:rsidRPr="00307C1C">
        <w:rPr>
          <w:lang w:val="en-US"/>
        </w:rPr>
        <w:t xml:space="preserve">transition to sleep </w:t>
      </w:r>
      <w:r w:rsidR="0005386D">
        <w:rPr>
          <w:lang w:val="en-US"/>
        </w:rPr>
        <w:t xml:space="preserve">with </w:t>
      </w:r>
      <w:r w:rsidR="00307C1C" w:rsidRPr="00307C1C">
        <w:rPr>
          <w:lang w:val="en-US"/>
        </w:rPr>
        <w:t>ramp-down/up overhead, which is power consuming</w:t>
      </w:r>
      <w:r w:rsidR="0005386D">
        <w:rPr>
          <w:lang w:val="en-US"/>
        </w:rPr>
        <w:t>.</w:t>
      </w:r>
      <w:r w:rsidR="00971DFC">
        <w:rPr>
          <w:lang w:val="en-US"/>
        </w:rPr>
        <w:t xml:space="preserve"> When DRX cycle is </w:t>
      </w:r>
      <w:r w:rsidR="00F625DF">
        <w:rPr>
          <w:lang w:val="en-US"/>
        </w:rPr>
        <w:t xml:space="preserve">configured long for example </w:t>
      </w:r>
      <w:r w:rsidR="00971DFC">
        <w:rPr>
          <w:lang w:val="en-US"/>
        </w:rPr>
        <w:t xml:space="preserve">620ms, such transition </w:t>
      </w:r>
      <w:r w:rsidR="00870E11">
        <w:rPr>
          <w:lang w:val="en-US"/>
        </w:rPr>
        <w:t>leads to</w:t>
      </w:r>
      <w:r w:rsidR="00971DFC">
        <w:rPr>
          <w:lang w:val="en-US"/>
        </w:rPr>
        <w:t xml:space="preserve"> unacceptable latency and impact on user experience.</w:t>
      </w:r>
    </w:p>
    <w:p w14:paraId="464C9796" w14:textId="59CD43C8" w:rsidR="00D34FC7" w:rsidRPr="00EF114E" w:rsidRDefault="00B80CCE" w:rsidP="00B80CCE">
      <w:pPr>
        <w:jc w:val="center"/>
        <w:rPr>
          <w:b/>
        </w:rPr>
      </w:pPr>
      <w:r w:rsidRPr="00B80CCE">
        <w:rPr>
          <w:lang w:val="en-US"/>
        </w:rPr>
        <w:object w:dxaOrig="5486" w:dyaOrig="5014" w14:anchorId="6D7D1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250.35pt" o:ole="">
            <v:imagedata r:id="rId8" o:title=""/>
          </v:shape>
          <o:OLEObject Type="Embed" ProgID="Visio.Drawing.15" ShapeID="_x0000_i1025" DrawAspect="Content" ObjectID="_1611734156" r:id="rId9"/>
        </w:object>
      </w:r>
      <w:r w:rsidR="00EF114E">
        <w:rPr>
          <w:lang w:val="en-US"/>
        </w:rPr>
        <w:t xml:space="preserve">                                                                               </w:t>
      </w:r>
      <w:r w:rsidRPr="00EF114E">
        <w:rPr>
          <w:b/>
          <w:lang w:val="en-US"/>
        </w:rPr>
        <w:t>Figure.</w:t>
      </w:r>
      <w:r w:rsidR="00B74162">
        <w:rPr>
          <w:b/>
          <w:lang w:val="en-US"/>
        </w:rPr>
        <w:t>2</w:t>
      </w:r>
      <w:r w:rsidRPr="00EF114E">
        <w:rPr>
          <w:b/>
          <w:lang w:val="en-US"/>
        </w:rPr>
        <w:t xml:space="preserve"> Example of </w:t>
      </w:r>
      <w:r w:rsidR="00EF114E" w:rsidRPr="00EF114E">
        <w:rPr>
          <w:b/>
          <w:lang w:val="en-US"/>
        </w:rPr>
        <w:t>issue on UL traffic adaptation to DRX</w:t>
      </w:r>
    </w:p>
    <w:p w14:paraId="3832F876" w14:textId="1672A1C2" w:rsidR="00B80CCE" w:rsidRDefault="00B80CCE" w:rsidP="000E7739">
      <w:pPr>
        <w:rPr>
          <w:lang w:val="en-US"/>
        </w:rPr>
      </w:pPr>
    </w:p>
    <w:p w14:paraId="46B44F9D" w14:textId="113A1FDE" w:rsidR="00B80CCE" w:rsidRDefault="0005386D" w:rsidP="000E7739">
      <w:pPr>
        <w:rPr>
          <w:lang w:val="en-US"/>
        </w:rPr>
      </w:pPr>
      <w:r>
        <w:rPr>
          <w:lang w:val="en-US"/>
        </w:rPr>
        <w:t>Hence it is beneficial to enable UE send request to gNB to extend the active period and gNB could either confirm to extend the a</w:t>
      </w:r>
      <w:r w:rsidR="00921681">
        <w:rPr>
          <w:lang w:val="en-US"/>
        </w:rPr>
        <w:t>ctive period or choose to decline and make UE go to sleep,</w:t>
      </w:r>
      <w:r>
        <w:rPr>
          <w:lang w:val="en-US"/>
        </w:rPr>
        <w:t xml:space="preserve"> which is up to gNB implementation</w:t>
      </w:r>
      <w:r w:rsidR="00921681">
        <w:rPr>
          <w:lang w:val="en-US"/>
        </w:rPr>
        <w:t>.</w:t>
      </w:r>
      <w:r w:rsidR="00354498">
        <w:rPr>
          <w:lang w:val="en-US"/>
        </w:rPr>
        <w:t xml:space="preserve"> To request to extend the active period from UE is similar to BSR with some values.</w:t>
      </w:r>
    </w:p>
    <w:p w14:paraId="1519DD40" w14:textId="32AE2766" w:rsidR="00921681" w:rsidRDefault="00921681" w:rsidP="000E7739">
      <w:pPr>
        <w:rPr>
          <w:lang w:val="en-US"/>
        </w:rPr>
      </w:pPr>
      <w:r>
        <w:rPr>
          <w:lang w:val="en-US"/>
        </w:rPr>
        <w:t>On the other hand</w:t>
      </w:r>
      <w:r w:rsidR="002943AD">
        <w:rPr>
          <w:lang w:val="en-US"/>
        </w:rPr>
        <w:t xml:space="preserve">, during the DRX_ON period, if UE thinks it is not necessary to stay active to monitor PDCCH, it may send request to go to sleep to gNB to save power. </w:t>
      </w:r>
      <w:r w:rsidR="00354498">
        <w:rPr>
          <w:lang w:val="en-US"/>
        </w:rPr>
        <w:t>To inform no need to</w:t>
      </w:r>
      <w:r w:rsidR="00B11500">
        <w:rPr>
          <w:lang w:val="en-US"/>
        </w:rPr>
        <w:t xml:space="preserve"> stay</w:t>
      </w:r>
      <w:r w:rsidR="00354498">
        <w:rPr>
          <w:lang w:val="en-US"/>
        </w:rPr>
        <w:t xml:space="preserve"> active from UE is similar to BSR size 0. </w:t>
      </w:r>
      <w:r w:rsidR="002943AD">
        <w:rPr>
          <w:lang w:val="en-US"/>
        </w:rPr>
        <w:t>In this case, the gNB may choose to confirm UE to go to sleep and save power or continue to make UE stay active if e.g. there is still some DL traffic to schedule.</w:t>
      </w:r>
      <w:r w:rsidR="00601E28">
        <w:rPr>
          <w:lang w:val="en-US"/>
        </w:rPr>
        <w:t xml:space="preserve"> Although this function </w:t>
      </w:r>
      <w:r w:rsidR="00E479F6">
        <w:rPr>
          <w:lang w:val="en-US"/>
        </w:rPr>
        <w:t xml:space="preserve">from gNB to UE </w:t>
      </w:r>
      <w:r w:rsidR="00601E28">
        <w:rPr>
          <w:lang w:val="en-US"/>
        </w:rPr>
        <w:t>is already supported by MAC, L1 based signaling can indicate faster.</w:t>
      </w:r>
      <w:r w:rsidR="00E479F6">
        <w:rPr>
          <w:lang w:val="en-US"/>
        </w:rPr>
        <w:t xml:space="preserve"> The function from UE to gNB as </w:t>
      </w:r>
      <w:r w:rsidR="00B11500">
        <w:rPr>
          <w:lang w:val="en-US"/>
        </w:rPr>
        <w:t xml:space="preserve">indicating </w:t>
      </w:r>
      <w:r w:rsidR="00E479F6">
        <w:rPr>
          <w:lang w:val="en-US"/>
        </w:rPr>
        <w:t>zero</w:t>
      </w:r>
      <w:r w:rsidR="00B11500">
        <w:rPr>
          <w:lang w:val="en-US"/>
        </w:rPr>
        <w:t xml:space="preserve"> buffer</w:t>
      </w:r>
      <w:r w:rsidR="00E479F6">
        <w:rPr>
          <w:lang w:val="en-US"/>
        </w:rPr>
        <w:t xml:space="preserve"> size should be additionally supported.  </w:t>
      </w:r>
    </w:p>
    <w:p w14:paraId="1141B649" w14:textId="77777777" w:rsidR="00416BE4" w:rsidRDefault="00416BE4" w:rsidP="000E7739">
      <w:pPr>
        <w:rPr>
          <w:lang w:val="en-US"/>
        </w:rPr>
      </w:pPr>
      <w:r>
        <w:rPr>
          <w:lang w:val="en-US"/>
        </w:rPr>
        <w:t>Thus, more dynamic assistance information from UE and gNB can provide more efficient traffic adaptation on top of the DRX configuration.</w:t>
      </w:r>
    </w:p>
    <w:p w14:paraId="74F4484C" w14:textId="5E2A426E" w:rsidR="00526CA0" w:rsidRPr="006D61F8" w:rsidRDefault="00416BE4" w:rsidP="000E7739">
      <w:pPr>
        <w:rPr>
          <w:b/>
          <w:lang w:val="en-US"/>
        </w:rPr>
      </w:pPr>
      <w:r w:rsidRPr="006E4132">
        <w:rPr>
          <w:b/>
          <w:lang w:val="en-US"/>
        </w:rPr>
        <w:t>Proposal</w:t>
      </w:r>
      <w:r w:rsidR="00B551BB" w:rsidRPr="006E4132">
        <w:rPr>
          <w:b/>
          <w:lang w:val="en-US"/>
        </w:rPr>
        <w:t xml:space="preserve"> </w:t>
      </w:r>
      <w:r w:rsidR="009348EE">
        <w:rPr>
          <w:b/>
          <w:lang w:val="en-US"/>
        </w:rPr>
        <w:t>7</w:t>
      </w:r>
      <w:r w:rsidR="00B551BB" w:rsidRPr="006E4132">
        <w:rPr>
          <w:b/>
          <w:lang w:val="en-US"/>
        </w:rPr>
        <w:t xml:space="preserve">: It is proposed to </w:t>
      </w:r>
      <w:r w:rsidR="006E4132" w:rsidRPr="006E4132">
        <w:rPr>
          <w:b/>
          <w:lang w:val="en-US"/>
        </w:rPr>
        <w:t>study</w:t>
      </w:r>
      <w:r w:rsidR="00B551BB" w:rsidRPr="006E4132">
        <w:rPr>
          <w:b/>
          <w:lang w:val="en-US"/>
        </w:rPr>
        <w:t xml:space="preserve"> procedure in support of more dynamic adjustment of DRX_ON period for better traffic adaptation. DRX_ON extension request, </w:t>
      </w:r>
      <w:r w:rsidR="006E4132" w:rsidRPr="006E4132">
        <w:rPr>
          <w:b/>
          <w:lang w:val="en-US"/>
        </w:rPr>
        <w:t>go-to-sleep request from UE and go-to-sleep indication from gNB can be starting points.</w:t>
      </w:r>
    </w:p>
    <w:p w14:paraId="7E8756C7" w14:textId="77777777" w:rsidR="00425857" w:rsidRPr="00425857" w:rsidRDefault="00425857" w:rsidP="000E7739">
      <w:pPr>
        <w:rPr>
          <w:b/>
        </w:rPr>
      </w:pPr>
    </w:p>
    <w:p w14:paraId="097F42D9" w14:textId="77777777" w:rsidR="00062D49" w:rsidRDefault="00062D49" w:rsidP="000E7739">
      <w:pPr>
        <w:pStyle w:val="Heading1"/>
        <w:ind w:left="0" w:firstLine="0"/>
      </w:pPr>
      <w:r>
        <w:rPr>
          <w:rFonts w:hint="eastAsia"/>
        </w:rPr>
        <w:t>Conclusions</w:t>
      </w:r>
    </w:p>
    <w:p w14:paraId="72343DC5" w14:textId="58209997" w:rsidR="00062D49" w:rsidRDefault="00062D49" w:rsidP="000E7739">
      <w:pPr>
        <w:rPr>
          <w:lang w:val="en-US" w:eastAsia="ja-JP"/>
        </w:rPr>
      </w:pPr>
      <w:r>
        <w:rPr>
          <w:lang w:val="en-US" w:eastAsia="ja-JP"/>
        </w:rPr>
        <w:t xml:space="preserve">This contribution provide </w:t>
      </w:r>
      <w:r w:rsidR="002D6766">
        <w:rPr>
          <w:lang w:val="en-US" w:eastAsia="ja-JP"/>
        </w:rPr>
        <w:t>our considerations on the traffic adaptation</w:t>
      </w:r>
      <w:r w:rsidR="00012E3F">
        <w:rPr>
          <w:lang w:val="en-US" w:eastAsia="ja-JP"/>
        </w:rPr>
        <w:t xml:space="preserve"> for power saving and related</w:t>
      </w:r>
      <w:r w:rsidR="002D6766">
        <w:rPr>
          <w:lang w:val="en-US" w:eastAsia="ja-JP"/>
        </w:rPr>
        <w:t xml:space="preserve"> procedure design. The follow conclusions are summarized below:</w:t>
      </w:r>
    </w:p>
    <w:p w14:paraId="45FDB176" w14:textId="77777777" w:rsidR="00C30604" w:rsidRPr="004F4B42" w:rsidRDefault="00C30604" w:rsidP="00C30604">
      <w:pPr>
        <w:rPr>
          <w:b/>
        </w:rPr>
      </w:pPr>
      <w:r w:rsidRPr="004F4B42">
        <w:rPr>
          <w:b/>
        </w:rPr>
        <w:t>Observation 1: Cross-slot scheduling is beneficial for power saving. By proper implementation</w:t>
      </w:r>
      <w:r>
        <w:rPr>
          <w:b/>
        </w:rPr>
        <w:t xml:space="preserve"> of gNB scheduler</w:t>
      </w:r>
      <w:r w:rsidRPr="004F4B42">
        <w:rPr>
          <w:b/>
        </w:rPr>
        <w:t>, the data transmission can be aggregated into smaller number of slot</w:t>
      </w:r>
      <w:r>
        <w:rPr>
          <w:b/>
        </w:rPr>
        <w:t>s</w:t>
      </w:r>
      <w:r w:rsidRPr="004F4B42">
        <w:rPr>
          <w:b/>
        </w:rPr>
        <w:t xml:space="preserve">, which is the main </w:t>
      </w:r>
      <w:r>
        <w:rPr>
          <w:b/>
        </w:rPr>
        <w:t>enabler</w:t>
      </w:r>
      <w:r w:rsidRPr="004F4B42">
        <w:rPr>
          <w:b/>
        </w:rPr>
        <w:t xml:space="preserve"> of saving power consumption.</w:t>
      </w:r>
      <w:r>
        <w:rPr>
          <w:b/>
        </w:rPr>
        <w:t xml:space="preserve"> </w:t>
      </w:r>
    </w:p>
    <w:p w14:paraId="4B5AE8C1" w14:textId="77777777" w:rsidR="00C30604" w:rsidRPr="001A37D9" w:rsidRDefault="00C30604" w:rsidP="00C30604">
      <w:pPr>
        <w:rPr>
          <w:b/>
          <w:lang w:val="en-US"/>
        </w:rPr>
      </w:pPr>
      <w:r w:rsidRPr="001A37D9">
        <w:rPr>
          <w:b/>
        </w:rPr>
        <w:t>Proposal 1: UE switching to micro-sleep and skipping PDCCH monitoring should be decoupled with functionality of cross-slot scheduling. The PDSCH buffering skipping can be enabled if the UE and gNB have aligned understanding of the minimum K0 within a certain period.</w:t>
      </w:r>
    </w:p>
    <w:p w14:paraId="1C0BD0E1" w14:textId="77777777" w:rsidR="007F7C4E" w:rsidRPr="004223C2" w:rsidRDefault="007F7C4E" w:rsidP="007F7C4E">
      <w:pPr>
        <w:rPr>
          <w:rFonts w:eastAsia="SimSun"/>
          <w:b/>
          <w:lang w:eastAsia="zh-CN"/>
        </w:rPr>
      </w:pPr>
      <w:r w:rsidRPr="004223C2">
        <w:rPr>
          <w:rFonts w:eastAsia="SimSun"/>
          <w:b/>
          <w:lang w:eastAsia="zh-CN"/>
        </w:rPr>
        <w:t>Proposal 2: PDCCH monitoring skipping used in cross-slot and multi-slot scheduling should have unified design.</w:t>
      </w:r>
    </w:p>
    <w:p w14:paraId="4E4DEBC5" w14:textId="77777777" w:rsidR="007F7C4E" w:rsidRPr="00CB57D8" w:rsidRDefault="007F7C4E" w:rsidP="007F7C4E">
      <w:pPr>
        <w:rPr>
          <w:rFonts w:eastAsia="SimSun"/>
          <w:b/>
          <w:lang w:val="en-US" w:eastAsia="zh-CN"/>
        </w:rPr>
      </w:pPr>
      <w:r w:rsidRPr="007C5100">
        <w:rPr>
          <w:rFonts w:eastAsia="SimSun"/>
          <w:b/>
          <w:lang w:val="en-US" w:eastAsia="zh-CN"/>
        </w:rPr>
        <w:lastRenderedPageBreak/>
        <w:t>Proposal 3: UE default behavior of mis-detection of power saving signal should be monitoring the PDCCH during DRX_ON. The indication by power saving signal should be designed by “allowing UE to skip” principle. The details on</w:t>
      </w:r>
      <w:r>
        <w:rPr>
          <w:rFonts w:eastAsia="SimSun"/>
          <w:b/>
          <w:lang w:val="en-US" w:eastAsia="zh-CN"/>
        </w:rPr>
        <w:t xml:space="preserve"> how power saving signal/channel supports</w:t>
      </w:r>
      <w:r w:rsidRPr="007C5100">
        <w:rPr>
          <w:rFonts w:eastAsia="SimSun"/>
          <w:b/>
          <w:lang w:val="en-US" w:eastAsia="zh-CN"/>
        </w:rPr>
        <w:t xml:space="preserve"> skipping operation and other functionalities can be further studied.</w:t>
      </w:r>
    </w:p>
    <w:p w14:paraId="1C07D948" w14:textId="77777777" w:rsidR="007F7C4E" w:rsidRPr="00823F10" w:rsidRDefault="007F7C4E" w:rsidP="007F7C4E">
      <w:pPr>
        <w:rPr>
          <w:rFonts w:eastAsia="SimSun"/>
          <w:b/>
          <w:lang w:val="en-US" w:eastAsia="zh-CN"/>
        </w:rPr>
      </w:pPr>
      <w:r w:rsidRPr="00823F10">
        <w:rPr>
          <w:rFonts w:eastAsia="SimSun"/>
          <w:b/>
          <w:lang w:val="en-US" w:eastAsia="zh-CN"/>
        </w:rPr>
        <w:t xml:space="preserve">Proposal 4: The SSB and RS resources should be assumed available by the UE in the preparation period before DRX_ON for channel tracking, CSI measurement, beam tracking and so on. </w:t>
      </w:r>
      <w:r>
        <w:rPr>
          <w:rFonts w:eastAsia="SimSun"/>
          <w:b/>
          <w:lang w:val="en-US" w:eastAsia="zh-CN"/>
        </w:rPr>
        <w:t xml:space="preserve"> </w:t>
      </w:r>
      <w:r w:rsidRPr="00823F10">
        <w:rPr>
          <w:rFonts w:eastAsia="SimSun"/>
          <w:b/>
          <w:lang w:val="en-US" w:eastAsia="zh-CN"/>
        </w:rPr>
        <w:t>The triggering of CSI report and SRS for earlier channel status awareness for gNB can be considered by indication in power saving signal</w:t>
      </w:r>
      <w:r>
        <w:rPr>
          <w:rFonts w:eastAsia="SimSun"/>
          <w:b/>
          <w:lang w:val="en-US" w:eastAsia="zh-CN"/>
        </w:rPr>
        <w:t>/channel</w:t>
      </w:r>
      <w:r w:rsidRPr="00823F10">
        <w:rPr>
          <w:rFonts w:eastAsia="SimSun"/>
          <w:b/>
          <w:lang w:val="en-US" w:eastAsia="zh-CN"/>
        </w:rPr>
        <w:t>.</w:t>
      </w:r>
    </w:p>
    <w:p w14:paraId="24ED1344" w14:textId="77777777" w:rsidR="007F7C4E" w:rsidRPr="00D57B32" w:rsidRDefault="007F7C4E" w:rsidP="007F7C4E">
      <w:pPr>
        <w:rPr>
          <w:rFonts w:eastAsia="SimSun"/>
          <w:b/>
          <w:lang w:eastAsia="zh-CN"/>
        </w:rPr>
      </w:pPr>
      <w:r w:rsidRPr="00D57B32">
        <w:rPr>
          <w:rFonts w:eastAsia="SimSun"/>
          <w:b/>
          <w:lang w:eastAsia="zh-CN"/>
        </w:rPr>
        <w:t>Proposal 5: For intra-carrier frequency domain adaptation, it needs careful study on scenarios and use cases for power saving purpose. For inter-carrier frequency adaptation, it is worth to study L1 based activation/deactivation.</w:t>
      </w:r>
    </w:p>
    <w:p w14:paraId="2A113880" w14:textId="77777777" w:rsidR="007F7C4E" w:rsidRPr="00265A34" w:rsidRDefault="007F7C4E" w:rsidP="007F7C4E">
      <w:pPr>
        <w:rPr>
          <w:b/>
          <w:lang w:val="en-US"/>
        </w:rPr>
      </w:pPr>
      <w:r w:rsidRPr="00265A34">
        <w:rPr>
          <w:b/>
          <w:lang w:val="en-US"/>
        </w:rPr>
        <w:t xml:space="preserve">Proposal </w:t>
      </w:r>
      <w:r>
        <w:rPr>
          <w:b/>
          <w:lang w:val="en-US"/>
        </w:rPr>
        <w:t>6</w:t>
      </w:r>
      <w:r w:rsidRPr="00265A34">
        <w:rPr>
          <w:b/>
          <w:lang w:val="en-US"/>
        </w:rPr>
        <w:t>: PDCCH-based design principle should be utilized for power saving signal/channel.</w:t>
      </w:r>
      <w:r>
        <w:rPr>
          <w:b/>
          <w:lang w:val="en-US"/>
        </w:rPr>
        <w:t xml:space="preserve"> DMRS of PDCCH can be used as </w:t>
      </w:r>
      <w:r w:rsidRPr="002E597C">
        <w:rPr>
          <w:b/>
          <w:lang w:val="en-US"/>
        </w:rPr>
        <w:t>sequence-based</w:t>
      </w:r>
      <w:r>
        <w:rPr>
          <w:b/>
          <w:lang w:val="en-US"/>
        </w:rPr>
        <w:t xml:space="preserve"> identification of the PDCCH as the implementation option.</w:t>
      </w:r>
    </w:p>
    <w:p w14:paraId="3BA53852" w14:textId="77777777" w:rsidR="007F7C4E" w:rsidRPr="006D61F8" w:rsidRDefault="007F7C4E" w:rsidP="007F7C4E">
      <w:pPr>
        <w:rPr>
          <w:b/>
          <w:lang w:val="en-US"/>
        </w:rPr>
      </w:pPr>
      <w:r w:rsidRPr="006E4132">
        <w:rPr>
          <w:b/>
          <w:lang w:val="en-US"/>
        </w:rPr>
        <w:t xml:space="preserve">Proposal </w:t>
      </w:r>
      <w:r>
        <w:rPr>
          <w:b/>
          <w:lang w:val="en-US"/>
        </w:rPr>
        <w:t>7</w:t>
      </w:r>
      <w:r w:rsidRPr="006E4132">
        <w:rPr>
          <w:b/>
          <w:lang w:val="en-US"/>
        </w:rPr>
        <w:t>: It is proposed to study procedure in support of more dynamic adjustment of DRX_ON period for better traffic adaptation. DRX_ON extension request, go-to-sleep request from UE and go-to-sleep indication from gNB can be starting points.</w:t>
      </w:r>
    </w:p>
    <w:p w14:paraId="7EF206A3" w14:textId="38884C4B" w:rsidR="00973E11" w:rsidRPr="007F7C4E" w:rsidRDefault="00973E11" w:rsidP="008C0A8E">
      <w:pPr>
        <w:rPr>
          <w:b/>
          <w:lang w:val="en-US" w:eastAsia="ja-JP"/>
        </w:rPr>
      </w:pPr>
    </w:p>
    <w:p w14:paraId="3549B4EB" w14:textId="77777777" w:rsidR="002E2FAF" w:rsidRDefault="002E2FAF" w:rsidP="000E7739">
      <w:pPr>
        <w:pStyle w:val="Heading1"/>
        <w:rPr>
          <w:rFonts w:cs="Arial"/>
        </w:rPr>
      </w:pPr>
      <w:r>
        <w:rPr>
          <w:rFonts w:cs="Arial" w:hint="eastAsia"/>
        </w:rPr>
        <w:t>References</w:t>
      </w:r>
    </w:p>
    <w:p w14:paraId="355E19E3" w14:textId="46F8090E" w:rsidR="00AC5F96" w:rsidRPr="00AC7BDD" w:rsidRDefault="006051C6" w:rsidP="00AC5F96">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Pr="006F7DBE">
        <w:rPr>
          <w:rFonts w:eastAsia="SimSun"/>
          <w:lang w:val="en-US" w:eastAsia="zh-CN"/>
        </w:rPr>
        <w:t>RAN1 Chairman’s Notes</w:t>
      </w:r>
      <w:r>
        <w:rPr>
          <w:rFonts w:eastAsia="SimSun"/>
          <w:lang w:val="en-US" w:eastAsia="zh-CN"/>
        </w:rPr>
        <w:t xml:space="preserve"> of </w:t>
      </w:r>
      <w:r w:rsidRPr="006F7DBE">
        <w:rPr>
          <w:rFonts w:eastAsia="SimSun"/>
          <w:lang w:val="en-US" w:eastAsia="zh-CN"/>
        </w:rPr>
        <w:t xml:space="preserve">3GPP TSG RAN WG1 Meeting </w:t>
      </w:r>
      <w:r w:rsidR="003063F3">
        <w:rPr>
          <w:rFonts w:eastAsia="SimSun"/>
          <w:lang w:val="en-US" w:eastAsia="zh-CN"/>
        </w:rPr>
        <w:t>Ad Hoc #1901</w:t>
      </w:r>
      <w:bookmarkStart w:id="0" w:name="_GoBack"/>
      <w:bookmarkEnd w:id="0"/>
    </w:p>
    <w:sectPr w:rsidR="00AC5F96" w:rsidRPr="00AC7BDD">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434674" w16cid:durableId="201030DE"/>
  <w16cid:commentId w16cid:paraId="4CC621F4" w16cid:durableId="20102A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91F2F" w14:textId="77777777" w:rsidR="0031657E" w:rsidRDefault="0031657E">
      <w:r>
        <w:separator/>
      </w:r>
    </w:p>
  </w:endnote>
  <w:endnote w:type="continuationSeparator" w:id="0">
    <w:p w14:paraId="75766CF9" w14:textId="77777777" w:rsidR="0031657E" w:rsidRDefault="0031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8097A" w:rsidRDefault="00C80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2D5DD" w14:textId="77777777" w:rsidR="0031657E" w:rsidRDefault="0031657E">
      <w:r>
        <w:separator/>
      </w:r>
    </w:p>
  </w:footnote>
  <w:footnote w:type="continuationSeparator" w:id="0">
    <w:p w14:paraId="3DCAE828" w14:textId="77777777" w:rsidR="0031657E" w:rsidRDefault="00316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8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5"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9"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0"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7"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2"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24"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9"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6"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7"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0"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3"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64"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9"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1"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3"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8"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9"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4"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5"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08"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0"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1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ED7151"/>
    <w:multiLevelType w:val="multilevel"/>
    <w:tmpl w:val="F8244648"/>
    <w:numStyleLink w:val="StyleBulletedSymbolsymbolLeft025Hanging0252"/>
  </w:abstractNum>
  <w:abstractNum w:abstractNumId="219"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2"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4"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6"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4"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5"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1"/>
  </w:num>
  <w:num w:numId="4">
    <w:abstractNumId w:val="188"/>
  </w:num>
  <w:num w:numId="5">
    <w:abstractNumId w:val="223"/>
  </w:num>
  <w:num w:numId="6">
    <w:abstractNumId w:val="220"/>
  </w:num>
  <w:num w:numId="7">
    <w:abstractNumId w:val="205"/>
  </w:num>
  <w:num w:numId="8">
    <w:abstractNumId w:val="118"/>
  </w:num>
  <w:num w:numId="9">
    <w:abstractNumId w:val="45"/>
  </w:num>
  <w:num w:numId="10">
    <w:abstractNumId w:val="19"/>
  </w:num>
  <w:num w:numId="11">
    <w:abstractNumId w:val="215"/>
  </w:num>
  <w:num w:numId="12">
    <w:abstractNumId w:val="159"/>
  </w:num>
  <w:num w:numId="13">
    <w:abstractNumId w:val="89"/>
  </w:num>
  <w:num w:numId="14">
    <w:abstractNumId w:val="218"/>
  </w:num>
  <w:num w:numId="15">
    <w:abstractNumId w:val="25"/>
  </w:num>
  <w:num w:numId="16">
    <w:abstractNumId w:val="210"/>
  </w:num>
  <w:num w:numId="17">
    <w:abstractNumId w:val="73"/>
  </w:num>
  <w:num w:numId="18">
    <w:abstractNumId w:val="104"/>
  </w:num>
  <w:num w:numId="19">
    <w:abstractNumId w:val="96"/>
  </w:num>
  <w:num w:numId="20">
    <w:abstractNumId w:val="165"/>
  </w:num>
  <w:num w:numId="21">
    <w:abstractNumId w:val="223"/>
  </w:num>
  <w:num w:numId="22">
    <w:abstractNumId w:val="200"/>
  </w:num>
  <w:num w:numId="23">
    <w:abstractNumId w:val="122"/>
  </w:num>
  <w:num w:numId="24">
    <w:abstractNumId w:val="147"/>
  </w:num>
  <w:num w:numId="25">
    <w:abstractNumId w:val="68"/>
  </w:num>
  <w:num w:numId="26">
    <w:abstractNumId w:val="227"/>
  </w:num>
  <w:num w:numId="27">
    <w:abstractNumId w:val="183"/>
  </w:num>
  <w:num w:numId="28">
    <w:abstractNumId w:val="40"/>
  </w:num>
  <w:num w:numId="29">
    <w:abstractNumId w:val="190"/>
  </w:num>
  <w:num w:numId="30">
    <w:abstractNumId w:val="166"/>
  </w:num>
  <w:num w:numId="31">
    <w:abstractNumId w:val="11"/>
  </w:num>
  <w:num w:numId="32">
    <w:abstractNumId w:val="150"/>
  </w:num>
  <w:num w:numId="33">
    <w:abstractNumId w:val="27"/>
  </w:num>
  <w:num w:numId="34">
    <w:abstractNumId w:val="62"/>
  </w:num>
  <w:num w:numId="35">
    <w:abstractNumId w:val="186"/>
  </w:num>
  <w:num w:numId="36">
    <w:abstractNumId w:val="187"/>
  </w:num>
  <w:num w:numId="37">
    <w:abstractNumId w:val="78"/>
  </w:num>
  <w:num w:numId="38">
    <w:abstractNumId w:val="145"/>
  </w:num>
  <w:num w:numId="39">
    <w:abstractNumId w:val="107"/>
  </w:num>
  <w:num w:numId="40">
    <w:abstractNumId w:val="21"/>
  </w:num>
  <w:num w:numId="41">
    <w:abstractNumId w:val="102"/>
  </w:num>
  <w:num w:numId="42">
    <w:abstractNumId w:val="24"/>
  </w:num>
  <w:num w:numId="43">
    <w:abstractNumId w:val="216"/>
  </w:num>
  <w:num w:numId="44">
    <w:abstractNumId w:val="142"/>
  </w:num>
  <w:num w:numId="45">
    <w:abstractNumId w:val="30"/>
  </w:num>
  <w:num w:numId="46">
    <w:abstractNumId w:val="9"/>
  </w:num>
  <w:num w:numId="47">
    <w:abstractNumId w:val="154"/>
  </w:num>
  <w:num w:numId="48">
    <w:abstractNumId w:val="236"/>
  </w:num>
  <w:num w:numId="49">
    <w:abstractNumId w:val="233"/>
  </w:num>
  <w:num w:numId="50">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11"/>
  </w:num>
  <w:num w:numId="52">
    <w:abstractNumId w:val="135"/>
  </w:num>
  <w:num w:numId="53">
    <w:abstractNumId w:val="44"/>
  </w:num>
  <w:num w:numId="54">
    <w:abstractNumId w:val="237"/>
  </w:num>
  <w:num w:numId="55">
    <w:abstractNumId w:val="90"/>
  </w:num>
  <w:num w:numId="56">
    <w:abstractNumId w:val="5"/>
  </w:num>
  <w:num w:numId="57">
    <w:abstractNumId w:val="20"/>
  </w:num>
  <w:num w:numId="58">
    <w:abstractNumId w:val="185"/>
  </w:num>
  <w:num w:numId="5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135"/>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123"/>
  </w:num>
  <w:num w:numId="66">
    <w:abstractNumId w:val="137"/>
  </w:num>
  <w:num w:numId="67">
    <w:abstractNumId w:val="34"/>
  </w:num>
  <w:num w:numId="68">
    <w:abstractNumId w:val="65"/>
  </w:num>
  <w:num w:numId="69">
    <w:abstractNumId w:val="64"/>
  </w:num>
  <w:num w:numId="70">
    <w:abstractNumId w:val="1"/>
  </w:num>
  <w:num w:numId="71">
    <w:abstractNumId w:val="67"/>
  </w:num>
  <w:num w:numId="72">
    <w:abstractNumId w:val="199"/>
  </w:num>
  <w:num w:numId="73">
    <w:abstractNumId w:val="52"/>
  </w:num>
  <w:num w:numId="74">
    <w:abstractNumId w:val="149"/>
  </w:num>
  <w:num w:numId="75">
    <w:abstractNumId w:val="224"/>
  </w:num>
  <w:num w:numId="76">
    <w:abstractNumId w:val="201"/>
  </w:num>
  <w:num w:numId="77">
    <w:abstractNumId w:val="87"/>
  </w:num>
  <w:num w:numId="78">
    <w:abstractNumId w:val="202"/>
  </w:num>
  <w:num w:numId="79">
    <w:abstractNumId w:val="108"/>
  </w:num>
  <w:num w:numId="80">
    <w:abstractNumId w:val="39"/>
  </w:num>
  <w:num w:numId="81">
    <w:abstractNumId w:val="206"/>
  </w:num>
  <w:num w:numId="82">
    <w:abstractNumId w:val="178"/>
  </w:num>
  <w:num w:numId="83">
    <w:abstractNumId w:val="207"/>
  </w:num>
  <w:num w:numId="84">
    <w:abstractNumId w:val="50"/>
  </w:num>
  <w:num w:numId="85">
    <w:abstractNumId w:val="144"/>
  </w:num>
  <w:num w:numId="86">
    <w:abstractNumId w:val="3"/>
  </w:num>
  <w:num w:numId="87">
    <w:abstractNumId w:val="116"/>
  </w:num>
  <w:num w:numId="88">
    <w:abstractNumId w:val="231"/>
  </w:num>
  <w:num w:numId="89">
    <w:abstractNumId w:val="76"/>
  </w:num>
  <w:num w:numId="90">
    <w:abstractNumId w:val="184"/>
  </w:num>
  <w:num w:numId="91">
    <w:abstractNumId w:val="194"/>
  </w:num>
  <w:num w:numId="92">
    <w:abstractNumId w:val="180"/>
  </w:num>
  <w:num w:numId="93">
    <w:abstractNumId w:val="6"/>
  </w:num>
  <w:num w:numId="94">
    <w:abstractNumId w:val="70"/>
  </w:num>
  <w:num w:numId="95">
    <w:abstractNumId w:val="155"/>
  </w:num>
  <w:num w:numId="96">
    <w:abstractNumId w:val="167"/>
  </w:num>
  <w:num w:numId="97">
    <w:abstractNumId w:val="124"/>
  </w:num>
  <w:num w:numId="98">
    <w:abstractNumId w:val="191"/>
  </w:num>
  <w:num w:numId="99">
    <w:abstractNumId w:val="91"/>
  </w:num>
  <w:num w:numId="100">
    <w:abstractNumId w:val="75"/>
  </w:num>
  <w:num w:numId="101">
    <w:abstractNumId w:val="10"/>
  </w:num>
  <w:num w:numId="102">
    <w:abstractNumId w:val="162"/>
  </w:num>
  <w:num w:numId="103">
    <w:abstractNumId w:val="128"/>
  </w:num>
  <w:num w:numId="104">
    <w:abstractNumId w:val="7"/>
  </w:num>
  <w:num w:numId="105">
    <w:abstractNumId w:val="235"/>
  </w:num>
  <w:num w:numId="106">
    <w:abstractNumId w:val="171"/>
  </w:num>
  <w:num w:numId="107">
    <w:abstractNumId w:val="48"/>
  </w:num>
  <w:num w:numId="108">
    <w:abstractNumId w:val="168"/>
  </w:num>
  <w:num w:numId="109">
    <w:abstractNumId w:val="99"/>
  </w:num>
  <w:num w:numId="110">
    <w:abstractNumId w:val="230"/>
  </w:num>
  <w:num w:numId="111">
    <w:abstractNumId w:val="112"/>
  </w:num>
  <w:num w:numId="112">
    <w:abstractNumId w:val="228"/>
  </w:num>
  <w:num w:numId="113">
    <w:abstractNumId w:val="84"/>
  </w:num>
  <w:num w:numId="114">
    <w:abstractNumId w:val="37"/>
  </w:num>
  <w:num w:numId="115">
    <w:abstractNumId w:val="41"/>
  </w:num>
  <w:num w:numId="116">
    <w:abstractNumId w:val="217"/>
  </w:num>
  <w:num w:numId="117">
    <w:abstractNumId w:val="179"/>
  </w:num>
  <w:num w:numId="118">
    <w:abstractNumId w:val="114"/>
  </w:num>
  <w:num w:numId="119">
    <w:abstractNumId w:val="58"/>
  </w:num>
  <w:num w:numId="120">
    <w:abstractNumId w:val="234"/>
  </w:num>
  <w:num w:numId="121">
    <w:abstractNumId w:val="141"/>
  </w:num>
  <w:num w:numId="122">
    <w:abstractNumId w:val="17"/>
  </w:num>
  <w:num w:numId="123">
    <w:abstractNumId w:val="98"/>
  </w:num>
  <w:num w:numId="124">
    <w:abstractNumId w:val="208"/>
  </w:num>
  <w:num w:numId="125">
    <w:abstractNumId w:val="61"/>
  </w:num>
  <w:num w:numId="126">
    <w:abstractNumId w:val="4"/>
  </w:num>
  <w:num w:numId="127">
    <w:abstractNumId w:val="196"/>
  </w:num>
  <w:num w:numId="128">
    <w:abstractNumId w:val="119"/>
  </w:num>
  <w:num w:numId="129">
    <w:abstractNumId w:val="85"/>
  </w:num>
  <w:num w:numId="130">
    <w:abstractNumId w:val="125"/>
  </w:num>
  <w:num w:numId="131">
    <w:abstractNumId w:val="197"/>
  </w:num>
  <w:num w:numId="132">
    <w:abstractNumId w:val="63"/>
  </w:num>
  <w:num w:numId="133">
    <w:abstractNumId w:val="97"/>
  </w:num>
  <w:num w:numId="134">
    <w:abstractNumId w:val="92"/>
  </w:num>
  <w:num w:numId="135">
    <w:abstractNumId w:val="49"/>
  </w:num>
  <w:num w:numId="136">
    <w:abstractNumId w:val="93"/>
  </w:num>
  <w:num w:numId="137">
    <w:abstractNumId w:val="219"/>
  </w:num>
  <w:num w:numId="138">
    <w:abstractNumId w:val="198"/>
  </w:num>
  <w:num w:numId="139">
    <w:abstractNumId w:val="28"/>
  </w:num>
  <w:num w:numId="140">
    <w:abstractNumId w:val="139"/>
  </w:num>
  <w:num w:numId="141">
    <w:abstractNumId w:val="133"/>
  </w:num>
  <w:num w:numId="142">
    <w:abstractNumId w:val="22"/>
  </w:num>
  <w:num w:numId="143">
    <w:abstractNumId w:val="189"/>
  </w:num>
  <w:num w:numId="144">
    <w:abstractNumId w:val="42"/>
  </w:num>
  <w:num w:numId="145">
    <w:abstractNumId w:val="136"/>
  </w:num>
  <w:num w:numId="146">
    <w:abstractNumId w:val="101"/>
  </w:num>
  <w:num w:numId="147">
    <w:abstractNumId w:val="222"/>
  </w:num>
  <w:num w:numId="148">
    <w:abstractNumId w:val="57"/>
  </w:num>
  <w:num w:numId="149">
    <w:abstractNumId w:val="134"/>
  </w:num>
  <w:num w:numId="150">
    <w:abstractNumId w:val="151"/>
  </w:num>
  <w:num w:numId="151">
    <w:abstractNumId w:val="88"/>
  </w:num>
  <w:num w:numId="152">
    <w:abstractNumId w:val="94"/>
  </w:num>
  <w:num w:numId="153">
    <w:abstractNumId w:val="163"/>
  </w:num>
  <w:num w:numId="154">
    <w:abstractNumId w:val="121"/>
  </w:num>
  <w:num w:numId="155">
    <w:abstractNumId w:val="204"/>
  </w:num>
  <w:num w:numId="156">
    <w:abstractNumId w:val="46"/>
  </w:num>
  <w:num w:numId="157">
    <w:abstractNumId w:val="110"/>
  </w:num>
  <w:num w:numId="158">
    <w:abstractNumId w:val="47"/>
  </w:num>
  <w:num w:numId="159">
    <w:abstractNumId w:val="77"/>
  </w:num>
  <w:num w:numId="160">
    <w:abstractNumId w:val="209"/>
  </w:num>
  <w:num w:numId="161">
    <w:abstractNumId w:val="59"/>
  </w:num>
  <w:num w:numId="162">
    <w:abstractNumId w:val="192"/>
  </w:num>
  <w:num w:numId="163">
    <w:abstractNumId w:val="132"/>
  </w:num>
  <w:num w:numId="164">
    <w:abstractNumId w:val="106"/>
  </w:num>
  <w:num w:numId="165">
    <w:abstractNumId w:val="176"/>
  </w:num>
  <w:num w:numId="166">
    <w:abstractNumId w:val="173"/>
  </w:num>
  <w:num w:numId="167">
    <w:abstractNumId w:val="158"/>
  </w:num>
  <w:num w:numId="168">
    <w:abstractNumId w:val="95"/>
  </w:num>
  <w:num w:numId="169">
    <w:abstractNumId w:val="13"/>
  </w:num>
  <w:num w:numId="170">
    <w:abstractNumId w:val="51"/>
  </w:num>
  <w:num w:numId="171">
    <w:abstractNumId w:val="156"/>
  </w:num>
  <w:num w:numId="172">
    <w:abstractNumId w:val="225"/>
  </w:num>
  <w:num w:numId="173">
    <w:abstractNumId w:val="32"/>
  </w:num>
  <w:num w:numId="174">
    <w:abstractNumId w:val="79"/>
  </w:num>
  <w:num w:numId="175">
    <w:abstractNumId w:val="66"/>
  </w:num>
  <w:num w:numId="176">
    <w:abstractNumId w:val="182"/>
  </w:num>
  <w:num w:numId="177">
    <w:abstractNumId w:val="12"/>
  </w:num>
  <w:num w:numId="178">
    <w:abstractNumId w:val="60"/>
  </w:num>
  <w:num w:numId="179">
    <w:abstractNumId w:val="164"/>
  </w:num>
  <w:num w:numId="180">
    <w:abstractNumId w:val="129"/>
  </w:num>
  <w:num w:numId="181">
    <w:abstractNumId w:val="35"/>
  </w:num>
  <w:num w:numId="182">
    <w:abstractNumId w:val="127"/>
  </w:num>
  <w:num w:numId="183">
    <w:abstractNumId w:val="29"/>
  </w:num>
  <w:num w:numId="184">
    <w:abstractNumId w:val="15"/>
  </w:num>
  <w:num w:numId="185">
    <w:abstractNumId w:val="169"/>
  </w:num>
  <w:num w:numId="186">
    <w:abstractNumId w:val="226"/>
  </w:num>
  <w:num w:numId="187">
    <w:abstractNumId w:val="56"/>
  </w:num>
  <w:num w:numId="188">
    <w:abstractNumId w:val="146"/>
  </w:num>
  <w:num w:numId="189">
    <w:abstractNumId w:val="74"/>
  </w:num>
  <w:num w:numId="190">
    <w:abstractNumId w:val="53"/>
  </w:num>
  <w:num w:numId="191">
    <w:abstractNumId w:val="71"/>
  </w:num>
  <w:num w:numId="192">
    <w:abstractNumId w:val="113"/>
  </w:num>
  <w:num w:numId="193">
    <w:abstractNumId w:val="177"/>
  </w:num>
  <w:num w:numId="194">
    <w:abstractNumId w:val="172"/>
  </w:num>
  <w:num w:numId="195">
    <w:abstractNumId w:val="2"/>
  </w:num>
  <w:num w:numId="196">
    <w:abstractNumId w:val="126"/>
  </w:num>
  <w:num w:numId="197">
    <w:abstractNumId w:val="72"/>
  </w:num>
  <w:num w:numId="198">
    <w:abstractNumId w:val="174"/>
  </w:num>
  <w:num w:numId="199">
    <w:abstractNumId w:val="138"/>
  </w:num>
  <w:num w:numId="200">
    <w:abstractNumId w:val="160"/>
  </w:num>
  <w:num w:numId="201">
    <w:abstractNumId w:val="213"/>
  </w:num>
  <w:num w:numId="202">
    <w:abstractNumId w:val="181"/>
  </w:num>
  <w:num w:numId="203">
    <w:abstractNumId w:val="105"/>
  </w:num>
  <w:num w:numId="204">
    <w:abstractNumId w:val="69"/>
  </w:num>
  <w:num w:numId="205">
    <w:abstractNumId w:val="232"/>
  </w:num>
  <w:num w:numId="206">
    <w:abstractNumId w:val="8"/>
  </w:num>
  <w:num w:numId="207">
    <w:abstractNumId w:val="82"/>
  </w:num>
  <w:num w:numId="208">
    <w:abstractNumId w:val="170"/>
  </w:num>
  <w:num w:numId="209">
    <w:abstractNumId w:val="214"/>
  </w:num>
  <w:num w:numId="210">
    <w:abstractNumId w:val="131"/>
  </w:num>
  <w:num w:numId="211">
    <w:abstractNumId w:val="157"/>
  </w:num>
  <w:num w:numId="212">
    <w:abstractNumId w:val="14"/>
  </w:num>
  <w:num w:numId="213">
    <w:abstractNumId w:val="238"/>
  </w:num>
  <w:num w:numId="214">
    <w:abstractNumId w:val="80"/>
  </w:num>
  <w:num w:numId="215">
    <w:abstractNumId w:val="130"/>
  </w:num>
  <w:num w:numId="216">
    <w:abstractNumId w:val="203"/>
  </w:num>
  <w:num w:numId="217">
    <w:abstractNumId w:val="103"/>
  </w:num>
  <w:num w:numId="218">
    <w:abstractNumId w:val="153"/>
  </w:num>
  <w:num w:numId="219">
    <w:abstractNumId w:val="175"/>
  </w:num>
  <w:num w:numId="220">
    <w:abstractNumId w:val="54"/>
  </w:num>
  <w:num w:numId="221">
    <w:abstractNumId w:val="115"/>
  </w:num>
  <w:num w:numId="222">
    <w:abstractNumId w:val="55"/>
  </w:num>
  <w:num w:numId="223">
    <w:abstractNumId w:val="212"/>
  </w:num>
  <w:num w:numId="224">
    <w:abstractNumId w:val="83"/>
  </w:num>
  <w:num w:numId="225">
    <w:abstractNumId w:val="109"/>
  </w:num>
  <w:num w:numId="226">
    <w:abstractNumId w:val="117"/>
  </w:num>
  <w:num w:numId="227">
    <w:abstractNumId w:val="143"/>
  </w:num>
  <w:num w:numId="228">
    <w:abstractNumId w:val="140"/>
  </w:num>
  <w:num w:numId="229">
    <w:abstractNumId w:val="36"/>
  </w:num>
  <w:num w:numId="230">
    <w:abstractNumId w:val="100"/>
  </w:num>
  <w:num w:numId="231">
    <w:abstractNumId w:val="33"/>
  </w:num>
  <w:num w:numId="232">
    <w:abstractNumId w:val="120"/>
  </w:num>
  <w:num w:numId="233">
    <w:abstractNumId w:val="43"/>
  </w:num>
  <w:num w:numId="234">
    <w:abstractNumId w:val="193"/>
  </w:num>
  <w:num w:numId="235">
    <w:abstractNumId w:val="26"/>
  </w:num>
  <w:num w:numId="236">
    <w:abstractNumId w:val="229"/>
  </w:num>
  <w:num w:numId="237">
    <w:abstractNumId w:val="148"/>
  </w:num>
  <w:num w:numId="238">
    <w:abstractNumId w:val="81"/>
  </w:num>
  <w:num w:numId="23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95"/>
  </w:num>
  <w:num w:numId="241">
    <w:abstractNumId w:val="161"/>
  </w:num>
  <w:num w:numId="242">
    <w:abstractNumId w:val="31"/>
  </w:num>
  <w:num w:numId="243">
    <w:abstractNumId w:val="86"/>
  </w:num>
  <w:num w:numId="244">
    <w:abstractNumId w:val="23"/>
  </w:num>
  <w:num w:numId="245">
    <w:abstractNumId w:val="152"/>
  </w:num>
  <w:num w:numId="246">
    <w:abstractNumId w:val="11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234A"/>
    <w:rsid w:val="00012E3F"/>
    <w:rsid w:val="00013FD3"/>
    <w:rsid w:val="00020C79"/>
    <w:rsid w:val="000215FB"/>
    <w:rsid w:val="000236F1"/>
    <w:rsid w:val="00024734"/>
    <w:rsid w:val="00026D65"/>
    <w:rsid w:val="000356BB"/>
    <w:rsid w:val="00036DD5"/>
    <w:rsid w:val="0004462A"/>
    <w:rsid w:val="00052ED1"/>
    <w:rsid w:val="0005386D"/>
    <w:rsid w:val="00062D49"/>
    <w:rsid w:val="00075451"/>
    <w:rsid w:val="00076170"/>
    <w:rsid w:val="000812B1"/>
    <w:rsid w:val="000909E1"/>
    <w:rsid w:val="000B5374"/>
    <w:rsid w:val="000B5FCF"/>
    <w:rsid w:val="000C4E7F"/>
    <w:rsid w:val="000E7739"/>
    <w:rsid w:val="000F4187"/>
    <w:rsid w:val="000F50F0"/>
    <w:rsid w:val="000F6ADB"/>
    <w:rsid w:val="00100C55"/>
    <w:rsid w:val="00102664"/>
    <w:rsid w:val="00110933"/>
    <w:rsid w:val="00121A66"/>
    <w:rsid w:val="00122EC4"/>
    <w:rsid w:val="0012708D"/>
    <w:rsid w:val="001274A4"/>
    <w:rsid w:val="00127BC0"/>
    <w:rsid w:val="00145258"/>
    <w:rsid w:val="00155F9F"/>
    <w:rsid w:val="001634EB"/>
    <w:rsid w:val="00170F78"/>
    <w:rsid w:val="00175C84"/>
    <w:rsid w:val="00176426"/>
    <w:rsid w:val="001844D1"/>
    <w:rsid w:val="00185B83"/>
    <w:rsid w:val="001936FD"/>
    <w:rsid w:val="001C6062"/>
    <w:rsid w:val="001C6BAF"/>
    <w:rsid w:val="001D3C17"/>
    <w:rsid w:val="001D3EB4"/>
    <w:rsid w:val="001E10A2"/>
    <w:rsid w:val="001E4F62"/>
    <w:rsid w:val="001F42E2"/>
    <w:rsid w:val="001F7572"/>
    <w:rsid w:val="00206822"/>
    <w:rsid w:val="00206BC8"/>
    <w:rsid w:val="002125A9"/>
    <w:rsid w:val="00215B71"/>
    <w:rsid w:val="00220900"/>
    <w:rsid w:val="00225143"/>
    <w:rsid w:val="002563B0"/>
    <w:rsid w:val="00265A34"/>
    <w:rsid w:val="00265F30"/>
    <w:rsid w:val="0027472B"/>
    <w:rsid w:val="002762ED"/>
    <w:rsid w:val="00276597"/>
    <w:rsid w:val="00281641"/>
    <w:rsid w:val="002916D3"/>
    <w:rsid w:val="002943AD"/>
    <w:rsid w:val="002A0E80"/>
    <w:rsid w:val="002A2B60"/>
    <w:rsid w:val="002A30E8"/>
    <w:rsid w:val="002B1ACB"/>
    <w:rsid w:val="002C16A9"/>
    <w:rsid w:val="002D6766"/>
    <w:rsid w:val="002E2FAF"/>
    <w:rsid w:val="002E597C"/>
    <w:rsid w:val="002F13BE"/>
    <w:rsid w:val="002F6723"/>
    <w:rsid w:val="003063F3"/>
    <w:rsid w:val="00307C1C"/>
    <w:rsid w:val="00311998"/>
    <w:rsid w:val="00311F9E"/>
    <w:rsid w:val="0031657E"/>
    <w:rsid w:val="00317E46"/>
    <w:rsid w:val="00324DA8"/>
    <w:rsid w:val="0034042E"/>
    <w:rsid w:val="00350FC2"/>
    <w:rsid w:val="00354498"/>
    <w:rsid w:val="00364D9E"/>
    <w:rsid w:val="0036533C"/>
    <w:rsid w:val="00374260"/>
    <w:rsid w:val="00382258"/>
    <w:rsid w:val="00393791"/>
    <w:rsid w:val="003B5F9B"/>
    <w:rsid w:val="003B6B65"/>
    <w:rsid w:val="00400466"/>
    <w:rsid w:val="004004A6"/>
    <w:rsid w:val="0040121A"/>
    <w:rsid w:val="004040FC"/>
    <w:rsid w:val="00414E16"/>
    <w:rsid w:val="00416BE4"/>
    <w:rsid w:val="004211DD"/>
    <w:rsid w:val="00425857"/>
    <w:rsid w:val="004320BC"/>
    <w:rsid w:val="00432F53"/>
    <w:rsid w:val="00440F45"/>
    <w:rsid w:val="00446BD7"/>
    <w:rsid w:val="00453929"/>
    <w:rsid w:val="00464EC7"/>
    <w:rsid w:val="00470D49"/>
    <w:rsid w:val="00480491"/>
    <w:rsid w:val="00492C88"/>
    <w:rsid w:val="004A2BF9"/>
    <w:rsid w:val="004B2368"/>
    <w:rsid w:val="004C36D6"/>
    <w:rsid w:val="004C585E"/>
    <w:rsid w:val="004D0635"/>
    <w:rsid w:val="004D3480"/>
    <w:rsid w:val="004E66AD"/>
    <w:rsid w:val="005014C3"/>
    <w:rsid w:val="00514174"/>
    <w:rsid w:val="00516EC0"/>
    <w:rsid w:val="00526CA0"/>
    <w:rsid w:val="00530940"/>
    <w:rsid w:val="00532FD1"/>
    <w:rsid w:val="005349FF"/>
    <w:rsid w:val="00542715"/>
    <w:rsid w:val="0056086F"/>
    <w:rsid w:val="00582A8E"/>
    <w:rsid w:val="00587D2B"/>
    <w:rsid w:val="0059452B"/>
    <w:rsid w:val="005A368D"/>
    <w:rsid w:val="005C4EC5"/>
    <w:rsid w:val="005E163E"/>
    <w:rsid w:val="005E3D77"/>
    <w:rsid w:val="00601E28"/>
    <w:rsid w:val="006051C6"/>
    <w:rsid w:val="00610FA3"/>
    <w:rsid w:val="00614E92"/>
    <w:rsid w:val="00640086"/>
    <w:rsid w:val="00653F6B"/>
    <w:rsid w:val="00654CC6"/>
    <w:rsid w:val="00656286"/>
    <w:rsid w:val="0067135A"/>
    <w:rsid w:val="0067267C"/>
    <w:rsid w:val="00692524"/>
    <w:rsid w:val="006935C4"/>
    <w:rsid w:val="006A2B4F"/>
    <w:rsid w:val="006B465F"/>
    <w:rsid w:val="006B4CC0"/>
    <w:rsid w:val="006D10DC"/>
    <w:rsid w:val="006D12EA"/>
    <w:rsid w:val="006D61F8"/>
    <w:rsid w:val="006E4132"/>
    <w:rsid w:val="006F0D17"/>
    <w:rsid w:val="006F6EFF"/>
    <w:rsid w:val="007035EB"/>
    <w:rsid w:val="00706228"/>
    <w:rsid w:val="007114CE"/>
    <w:rsid w:val="007433AD"/>
    <w:rsid w:val="0074448A"/>
    <w:rsid w:val="0074595E"/>
    <w:rsid w:val="00745EDF"/>
    <w:rsid w:val="007572B7"/>
    <w:rsid w:val="00766479"/>
    <w:rsid w:val="007A586A"/>
    <w:rsid w:val="007B040C"/>
    <w:rsid w:val="007C03BD"/>
    <w:rsid w:val="007C0A31"/>
    <w:rsid w:val="007C0F72"/>
    <w:rsid w:val="007C4178"/>
    <w:rsid w:val="007D4F43"/>
    <w:rsid w:val="007F3B71"/>
    <w:rsid w:val="007F7C4E"/>
    <w:rsid w:val="0080178F"/>
    <w:rsid w:val="00813A31"/>
    <w:rsid w:val="00813E2E"/>
    <w:rsid w:val="0081711B"/>
    <w:rsid w:val="008201E2"/>
    <w:rsid w:val="00827137"/>
    <w:rsid w:val="008361FA"/>
    <w:rsid w:val="00841950"/>
    <w:rsid w:val="00853607"/>
    <w:rsid w:val="00857A26"/>
    <w:rsid w:val="00861853"/>
    <w:rsid w:val="00870E11"/>
    <w:rsid w:val="008733E2"/>
    <w:rsid w:val="008931EB"/>
    <w:rsid w:val="008943B2"/>
    <w:rsid w:val="008A50C6"/>
    <w:rsid w:val="008A58F9"/>
    <w:rsid w:val="008B7544"/>
    <w:rsid w:val="008C0A8E"/>
    <w:rsid w:val="008C50D4"/>
    <w:rsid w:val="008C50F8"/>
    <w:rsid w:val="008C7AD6"/>
    <w:rsid w:val="008D65CD"/>
    <w:rsid w:val="008F25D0"/>
    <w:rsid w:val="008F464F"/>
    <w:rsid w:val="00903FD2"/>
    <w:rsid w:val="00905069"/>
    <w:rsid w:val="00913229"/>
    <w:rsid w:val="00921681"/>
    <w:rsid w:val="00921CA8"/>
    <w:rsid w:val="00924160"/>
    <w:rsid w:val="009348EE"/>
    <w:rsid w:val="00937118"/>
    <w:rsid w:val="00941BC8"/>
    <w:rsid w:val="009451A1"/>
    <w:rsid w:val="00946032"/>
    <w:rsid w:val="00951995"/>
    <w:rsid w:val="00955543"/>
    <w:rsid w:val="009608D2"/>
    <w:rsid w:val="00962E4F"/>
    <w:rsid w:val="00971DFC"/>
    <w:rsid w:val="00973CC3"/>
    <w:rsid w:val="00973E11"/>
    <w:rsid w:val="00980967"/>
    <w:rsid w:val="00983D2D"/>
    <w:rsid w:val="00984B5E"/>
    <w:rsid w:val="009873C6"/>
    <w:rsid w:val="00992FC2"/>
    <w:rsid w:val="009A02EC"/>
    <w:rsid w:val="009A5A45"/>
    <w:rsid w:val="009A721D"/>
    <w:rsid w:val="009B2660"/>
    <w:rsid w:val="009D46A9"/>
    <w:rsid w:val="009E09E6"/>
    <w:rsid w:val="009E6080"/>
    <w:rsid w:val="009E768C"/>
    <w:rsid w:val="00A004B3"/>
    <w:rsid w:val="00A04FCB"/>
    <w:rsid w:val="00A06938"/>
    <w:rsid w:val="00A12B12"/>
    <w:rsid w:val="00A445C4"/>
    <w:rsid w:val="00A55904"/>
    <w:rsid w:val="00A577E9"/>
    <w:rsid w:val="00A57A17"/>
    <w:rsid w:val="00A608BF"/>
    <w:rsid w:val="00A61D51"/>
    <w:rsid w:val="00A672F0"/>
    <w:rsid w:val="00A82339"/>
    <w:rsid w:val="00AA33E8"/>
    <w:rsid w:val="00AB28FA"/>
    <w:rsid w:val="00AC0628"/>
    <w:rsid w:val="00AC077A"/>
    <w:rsid w:val="00AC26D1"/>
    <w:rsid w:val="00AC37D8"/>
    <w:rsid w:val="00AC5F96"/>
    <w:rsid w:val="00AC7BDD"/>
    <w:rsid w:val="00AD1825"/>
    <w:rsid w:val="00AD35A1"/>
    <w:rsid w:val="00AE3AEF"/>
    <w:rsid w:val="00AE3F34"/>
    <w:rsid w:val="00B02CB3"/>
    <w:rsid w:val="00B035B9"/>
    <w:rsid w:val="00B11500"/>
    <w:rsid w:val="00B22F09"/>
    <w:rsid w:val="00B47642"/>
    <w:rsid w:val="00B5152E"/>
    <w:rsid w:val="00B54622"/>
    <w:rsid w:val="00B551BB"/>
    <w:rsid w:val="00B614FF"/>
    <w:rsid w:val="00B661E3"/>
    <w:rsid w:val="00B74162"/>
    <w:rsid w:val="00B80CCE"/>
    <w:rsid w:val="00B83E3D"/>
    <w:rsid w:val="00B85178"/>
    <w:rsid w:val="00B87EDA"/>
    <w:rsid w:val="00BC1E9F"/>
    <w:rsid w:val="00BC20DC"/>
    <w:rsid w:val="00BC4FA3"/>
    <w:rsid w:val="00BD6F0A"/>
    <w:rsid w:val="00BE1908"/>
    <w:rsid w:val="00BF037F"/>
    <w:rsid w:val="00BF1447"/>
    <w:rsid w:val="00BF400D"/>
    <w:rsid w:val="00BF6F4F"/>
    <w:rsid w:val="00C079B1"/>
    <w:rsid w:val="00C30604"/>
    <w:rsid w:val="00C3094E"/>
    <w:rsid w:val="00C31C9F"/>
    <w:rsid w:val="00C3799A"/>
    <w:rsid w:val="00C505BD"/>
    <w:rsid w:val="00C52757"/>
    <w:rsid w:val="00C5665B"/>
    <w:rsid w:val="00C578D1"/>
    <w:rsid w:val="00C655A2"/>
    <w:rsid w:val="00C6594E"/>
    <w:rsid w:val="00C8097A"/>
    <w:rsid w:val="00C950FC"/>
    <w:rsid w:val="00CA4D54"/>
    <w:rsid w:val="00CA563C"/>
    <w:rsid w:val="00CA7A0F"/>
    <w:rsid w:val="00CB24EA"/>
    <w:rsid w:val="00CC70A5"/>
    <w:rsid w:val="00CD0AEE"/>
    <w:rsid w:val="00CE5C55"/>
    <w:rsid w:val="00CF35F7"/>
    <w:rsid w:val="00CF4D1F"/>
    <w:rsid w:val="00D21D0D"/>
    <w:rsid w:val="00D34FC7"/>
    <w:rsid w:val="00D407FE"/>
    <w:rsid w:val="00D60F62"/>
    <w:rsid w:val="00D662F1"/>
    <w:rsid w:val="00D6755C"/>
    <w:rsid w:val="00D73EBF"/>
    <w:rsid w:val="00D90142"/>
    <w:rsid w:val="00D90E0E"/>
    <w:rsid w:val="00D9284A"/>
    <w:rsid w:val="00D95377"/>
    <w:rsid w:val="00DA4336"/>
    <w:rsid w:val="00DB183D"/>
    <w:rsid w:val="00DB382F"/>
    <w:rsid w:val="00DB4F3A"/>
    <w:rsid w:val="00DC0E50"/>
    <w:rsid w:val="00DC5939"/>
    <w:rsid w:val="00DC6DC2"/>
    <w:rsid w:val="00DC7ECE"/>
    <w:rsid w:val="00DD639E"/>
    <w:rsid w:val="00DE42AA"/>
    <w:rsid w:val="00DE4CBB"/>
    <w:rsid w:val="00DE7F31"/>
    <w:rsid w:val="00E14BC1"/>
    <w:rsid w:val="00E26486"/>
    <w:rsid w:val="00E307D6"/>
    <w:rsid w:val="00E37FD4"/>
    <w:rsid w:val="00E4204F"/>
    <w:rsid w:val="00E479F6"/>
    <w:rsid w:val="00E7765D"/>
    <w:rsid w:val="00E8258C"/>
    <w:rsid w:val="00E82F64"/>
    <w:rsid w:val="00E85040"/>
    <w:rsid w:val="00E868F7"/>
    <w:rsid w:val="00E9158C"/>
    <w:rsid w:val="00E97FC9"/>
    <w:rsid w:val="00EA494C"/>
    <w:rsid w:val="00EC15A9"/>
    <w:rsid w:val="00ED1722"/>
    <w:rsid w:val="00ED6049"/>
    <w:rsid w:val="00EE077F"/>
    <w:rsid w:val="00EF114E"/>
    <w:rsid w:val="00EF7077"/>
    <w:rsid w:val="00F01C1B"/>
    <w:rsid w:val="00F05178"/>
    <w:rsid w:val="00F10F7E"/>
    <w:rsid w:val="00F110E7"/>
    <w:rsid w:val="00F21F4F"/>
    <w:rsid w:val="00F43C32"/>
    <w:rsid w:val="00F55A9D"/>
    <w:rsid w:val="00F61772"/>
    <w:rsid w:val="00F625DF"/>
    <w:rsid w:val="00F65D84"/>
    <w:rsid w:val="00F746FC"/>
    <w:rsid w:val="00FA2772"/>
    <w:rsid w:val="00FB6705"/>
    <w:rsid w:val="00FC490B"/>
    <w:rsid w:val="00FC4D7A"/>
    <w:rsid w:val="00FC7D3E"/>
    <w:rsid w:val="00FD603B"/>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WCOM_3GPP_Contribution.dot</Template>
  <TotalTime>0</TotalTime>
  <Pages>7</Pages>
  <Words>3144</Words>
  <Characters>17921</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2</cp:revision>
  <dcterms:created xsi:type="dcterms:W3CDTF">2019-02-15T10:09:00Z</dcterms:created>
  <dcterms:modified xsi:type="dcterms:W3CDTF">2019-02-15T10:09:00Z</dcterms:modified>
  <cp:category/>
</cp:coreProperties>
</file>